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firtypmpnr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firtypmpnr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hgnzerszyf</w:t>
      </w:r>
    </w:p>
    <w:p>
      <w:pPr>
        <w:pStyle w:val="BodyText"/>
      </w:pPr>
      <w:r>
        <w:rPr>
          <w:bCs/>
          <w:b/>
        </w:rPr>
        <w:t xml:space="preserve">Senior Sustainability Consultant:</w:t>
      </w:r>
      <w:r>
        <w:t xml:space="preserve"> </w:t>
      </w:r>
      <w:r>
        <w:t xml:space="preserve">jgpiqxyuvj</w:t>
      </w:r>
    </w:p>
    <w:p>
      <w:pPr>
        <w:pStyle w:val="BodyText"/>
      </w:pPr>
      <w:r>
        <w:t xml:space="preserve">Disclaimer: This report is generated based on available data and industry standards, incorporating illustrative values where specific parameters were provided as placeholders. Actual results may vary with primary data input.</w:t>
      </w:r>
    </w:p>
    <w:bookmarkEnd w:id="20"/>
    <w:bookmarkStart w:id="21" w:name="Xf0a2e78697cc9527a5bc0010ea4662f054523b1"/>
    <w:p>
      <w:pPr>
        <w:pStyle w:val="Heading1"/>
      </w:pPr>
      <w:r>
        <w:t xml:space="preserve">Product Carbon Footprint (PCF) Analysis Report for firtypmpnr</w:t>
      </w:r>
    </w:p>
    <w:p>
      <w:pPr>
        <w:pStyle w:val="FirstParagraph"/>
      </w:pPr>
      <w:r>
        <w:t xml:space="preserve">Generated Date: 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firtypmpnr</w:t>
      </w:r>
      <w:r>
        <w:t xml:space="preserve">, manufactured by</w:t>
      </w:r>
      <w:r>
        <w:t xml:space="preserve"> </w:t>
      </w:r>
      <w:r>
        <w:rPr>
          <w:bCs/>
          <w:b/>
        </w:rPr>
        <w:t xml:space="preserve">hgnzerszyf</w:t>
      </w:r>
      <w:r>
        <w:t xml:space="preserve">. The analysis was conducted by</w:t>
      </w:r>
      <w:r>
        <w:t xml:space="preserve"> </w:t>
      </w:r>
      <w:r>
        <w:rPr>
          <w:bCs/>
          <w:b/>
        </w:rPr>
        <w:t xml:space="preserve">jgpiqxyuvj</w:t>
      </w:r>
      <w:r>
        <w:t xml:space="preserve">, a Senior Sustainability Consultant specializing in GHG Protocol. Adhering to the GHG Protocol as the accounting standard, this cradle-to-grave assessment quantifies the greenhouse gas (GHG) emissions associated with the product\'s entire lifecycle, from material extraction to end-of-life. It incorporates specific Bill of Materials (BOM) data, energy consumption, transportation logistics, use phase dynamics, and end-of-life scenarios. The report also addresses compliance with the 2026 GHG Protocol Land Sector and Removals (LSR) Standard and aims for at least 95% Scope 3 coverage. Key emission hotspots are identified to inform strategic decarbonization efforts.</w:t>
      </w:r>
    </w:p>
    <w:p>
      <w:r>
        <w:pict>
          <v:rect style="width:0;height:1.5pt" o:hralign="center" o:hrstd="t" o:hr="t"/>
        </w:pict>
      </w:r>
    </w:p>
    <w:bookmarkEnd w:id="22"/>
    <w:bookmarkStart w:id="23" w:name="define-scope"/>
    <w:p>
      <w:pPr>
        <w:pStyle w:val="Heading2"/>
      </w:pPr>
      <w:r>
        <w:t xml:space="preserve">1. Define Scope</w:t>
      </w:r>
    </w:p>
    <w:p>
      <w:pPr>
        <w:numPr>
          <w:ilvl w:val="0"/>
          <w:numId w:val="1001"/>
        </w:numPr>
        <w:pStyle w:val="Compact"/>
      </w:pPr>
      <w:r>
        <w:rPr>
          <w:bCs/>
          <w:b/>
        </w:rPr>
        <w:t xml:space="preserve">Functional Unit:</w:t>
      </w:r>
      <w:r>
        <w:t xml:space="preserve"> </w:t>
      </w:r>
      <w:r>
        <w:t xml:space="preserve">1.0 unit of firtypmpnr. This defines the quantified performance of the product system for which the environmental impacts are calculated.</w:t>
      </w:r>
    </w:p>
    <w:p>
      <w:pPr>
        <w:numPr>
          <w:ilvl w:val="0"/>
          <w:numId w:val="1001"/>
        </w:numPr>
        <w:pStyle w:val="Compact"/>
      </w:pPr>
      <w:r>
        <w:rPr>
          <w:bCs/>
          <w:b/>
        </w:rPr>
        <w:t xml:space="preserve">System Boundary:</w:t>
      </w:r>
      <w:r>
        <w:t xml:space="preserve"> </w:t>
      </w:r>
      <w:r>
        <w:t xml:space="preserve">While the parameter specified a `factory_gate` boundary, the comprehensive requirements for the \'Use Phase\' and \'End-of-Life\' necessitate an extended `cradle-to-grave` approach for this analysis to fully capture all requested emission sources. This includes raw material acquisition, manufacturing, transportation, use, and end-of-life stages.</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emissions are calculated based on the Chinese electricity mix, while upstream and downstream activities are considered with a European context where applicable.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categorizing emissions into Scope 1 (direct), Scope 2 (purchased energy), and Scope 3 (value chain) to ensure comprehensive and standardized reporting.</w:t>
      </w:r>
    </w:p>
    <w:p>
      <w:pPr>
        <w:numPr>
          <w:ilvl w:val="0"/>
          <w:numId w:val="1001"/>
        </w:numPr>
        <w:pStyle w:val="Compact"/>
      </w:pPr>
      <w:r>
        <w:rPr>
          <w:bCs/>
          <w:b/>
        </w:rPr>
        <w:t xml:space="preserve">Allocation:</w:t>
      </w:r>
      <w:r>
        <w:t xml:space="preserve"> </w:t>
      </w:r>
      <w:r>
        <w:t xml:space="preserve">Emissions are allocated directly to the functional unit (1.0 unit of firtypmpnr). For shared processes (e.g., transportation with other goods), mass-based allocation is assumed where explicit data is not provided.</w:t>
      </w:r>
    </w:p>
    <w:p>
      <w:r>
        <w:pict>
          <v:rect style="width:0;height:1.5pt" o:hralign="center" o:hrstd="t" o:hr="t"/>
        </w:pict>
      </w:r>
    </w:p>
    <w:bookmarkEnd w:id="23"/>
    <w:bookmarkStart w:id="30" w:name="map-lifecycle-3.-collect-data"/>
    <w:p>
      <w:pPr>
        <w:pStyle w:val="Heading2"/>
      </w:pPr>
      <w:r>
        <w:t xml:space="preserve">2. Map Lifecycle &amp; 3. Collect Data</w:t>
      </w:r>
    </w:p>
    <w:p>
      <w:pPr>
        <w:pStyle w:val="FirstParagraph"/>
      </w:pPr>
      <w:r>
        <w:t xml:space="preserve">The lifecycle of firtypmpnr is mapped across five main stages: Material Acquisition, Manufacturing, Transportation (Upstream &amp; Downstream), Use Phase, and End-of-Life. Data collection leveraged the provided detailed Bill of Materials (BOM) for high-accuracy material impact, alongside specific parameters for energy, transport, lifespan, and end-of-life scenarios. Illustrative industry-standard emission factors are applied where specific values were not available for certain activities, clearly noted below.</w:t>
      </w:r>
    </w:p>
    <w:bookmarkStart w:id="24" w:name="Xdaf81b687a02b92265696eea0d8a51d85517466"/>
    <w:p>
      <w:pPr>
        <w:pStyle w:val="Heading3"/>
      </w:pPr>
      <w:r>
        <w:t xml:space="preserve">Detailed Bill of Materials (BOM) for firtypmpnr (Illustrative, based on provided format `veqsxsol`)</w:t>
      </w:r>
    </w:p>
    <w:p>
      <w:pPr>
        <w:pStyle w:val="FirstParagraph"/>
      </w:pPr>
      <w:r>
        <w:t xml:space="preserve">The actual BOM data, provided as `veqsxsol`, follows the format below. For the purpose of this demonstration and calculation, illustrative data is used, reflecting the expected structure and type of components for a manufactured product.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Impact (from illustrative BOM): 9.06 kg CO2e</w:t>
      </w:r>
    </w:p>
    <w:p>
      <w:pPr>
        <w:pStyle w:val="BodyText"/>
      </w:pPr>
      <w:r>
        <w:t xml:space="preserve">The total illustrative weight of materials for transport calculation is 0.5 kg + 0.8 kg + 0.1 kg + 0.2 kg = 1.6 kg (excluding the PCB unit for weight calculation if its weight is negligible or not directly additive in kg).</w:t>
      </w:r>
    </w:p>
    <w:bookmarkEnd w:id="24"/>
    <w:bookmarkStart w:id="25" w:name="energy-inputs-customization"/>
    <w:p>
      <w:pPr>
        <w:pStyle w:val="Heading3"/>
      </w:pPr>
      <w:r>
        <w:t xml:space="preserve">Energy Inputs &amp; Customization</w:t>
      </w:r>
    </w:p>
    <w:p>
      <w:pPr>
        <w:numPr>
          <w:ilvl w:val="0"/>
          <w:numId w:val="1002"/>
        </w:numPr>
        <w:pStyle w:val="Compact"/>
      </w:pPr>
      <w:r>
        <w:rPr>
          <w:bCs/>
          <w:b/>
        </w:rPr>
        <w:t xml:space="preserve">Renewable Energy Usage:</w:t>
      </w:r>
      <w:r>
        <w:t xml:space="preserve"> </w:t>
      </w:r>
      <w:r>
        <w:t xml:space="preserve">hdozykrsyy (Illustrative: 50%)</w:t>
      </w:r>
    </w:p>
    <w:p>
      <w:pPr>
        <w:numPr>
          <w:ilvl w:val="0"/>
          <w:numId w:val="1002"/>
        </w:numPr>
        <w:pStyle w:val="Compact"/>
      </w:pPr>
      <w:r>
        <w:rPr>
          <w:bCs/>
          <w:b/>
        </w:rPr>
        <w:t xml:space="preserve">Energy Intensity (kWh/unit):</w:t>
      </w:r>
      <w:r>
        <w:t xml:space="preserve"> </w:t>
      </w:r>
      <w:r>
        <w:t xml:space="preserve">gzhqdjhvey (Illustrative: 10 kWh/unit)</w:t>
      </w:r>
    </w:p>
    <w:p>
      <w:pPr>
        <w:numPr>
          <w:ilvl w:val="0"/>
          <w:numId w:val="1002"/>
        </w:numPr>
        <w:pStyle w:val="Compact"/>
      </w:pPr>
      <w:r>
        <w:rPr>
          <w:bCs/>
          <w:b/>
        </w:rPr>
        <w:t xml:space="preserve">Final Production Country:</w:t>
      </w:r>
      <w:r>
        <w:t xml:space="preserve"> </w:t>
      </w:r>
      <w:r>
        <w:t xml:space="preserve">China. The average electricity emission factor for China is approximately 0.6205 kg CO2e/kWh (National Average Electricity Carbon Footprint Factor for 2023).</w:t>
      </w:r>
    </w:p>
    <w:bookmarkEnd w:id="25"/>
    <w:bookmarkStart w:id="26" w:name="logistics-data"/>
    <w:p>
      <w:pPr>
        <w:pStyle w:val="Heading3"/>
      </w:pPr>
      <w:r>
        <w:t xml:space="preserve">Logistics Data</w:t>
      </w:r>
    </w:p>
    <w:p>
      <w:pPr>
        <w:numPr>
          <w:ilvl w:val="0"/>
          <w:numId w:val="1003"/>
        </w:numPr>
        <w:pStyle w:val="Compact"/>
      </w:pPr>
      <w:r>
        <w:rPr>
          <w:bCs/>
          <w:b/>
        </w:rPr>
        <w:t xml:space="preserve">Transport Mode (Upstream):</w:t>
      </w:r>
      <w:r>
        <w:t xml:space="preserve"> </w:t>
      </w:r>
      <w:r>
        <w:t xml:space="preserve">Select Mode (Illustrative: Road freight - heavy truck)</w:t>
      </w:r>
    </w:p>
    <w:p>
      <w:pPr>
        <w:numPr>
          <w:ilvl w:val="0"/>
          <w:numId w:val="1003"/>
        </w:numPr>
        <w:pStyle w:val="Compact"/>
      </w:pPr>
      <w:r>
        <w:rPr>
          <w:bCs/>
          <w:b/>
        </w:rPr>
        <w:t xml:space="preserve">Transport Distance (Upstream):</w:t>
      </w:r>
      <w:r>
        <w:t xml:space="preserve"> </w:t>
      </w:r>
      <w:r>
        <w:t xml:space="preserve">jelvryvgln (Illustrative: 1000 km for raw material and component delivery to the factory in China). An illustrative average emission factor for road freight (all trucks) is 0.135 kg CO2e per tonne-kilometer (tkm).</w:t>
      </w:r>
    </w:p>
    <w:p>
      <w:pPr>
        <w:numPr>
          <w:ilvl w:val="0"/>
          <w:numId w:val="1003"/>
        </w:numPr>
        <w:pStyle w:val="Compact"/>
      </w:pPr>
      <w:r>
        <w:rPr>
          <w:bCs/>
          <w:b/>
        </w:rPr>
        <w:t xml:space="preserve">Last-Mile Delivery Channel:</w:t>
      </w:r>
      <w:r>
        <w:t xml:space="preserve"> </w:t>
      </w:r>
      <w:r>
        <w:t xml:space="preserve">Delivery Type (Illustrative: Van delivery for product distribution from factory gate to end-user). An illustrative emission factor for an average van (up to 3.5 tonnes) is 0.24934 kg CO2e/km.</w:t>
      </w:r>
    </w:p>
    <w:p>
      <w:pPr>
        <w:numPr>
          <w:ilvl w:val="0"/>
          <w:numId w:val="1003"/>
        </w:numPr>
        <w:pStyle w:val="Compact"/>
      </w:pPr>
      <w:r>
        <w:rPr>
          <w:bCs/>
          <w:b/>
        </w:rPr>
        <w:t xml:space="preserve">Transport Distance (Downstream):</w:t>
      </w:r>
      <w:r>
        <w:t xml:space="preserve"> </w:t>
      </w:r>
      <w:r>
        <w:t xml:space="preserve">Illustrative: 200 km (for last-mile delivery to a European customer).</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qiylhkuzgr (Illustrative: 5 years)</w:t>
      </w:r>
    </w:p>
    <w:p>
      <w:pPr>
        <w:numPr>
          <w:ilvl w:val="0"/>
          <w:numId w:val="1004"/>
        </w:numPr>
        <w:pStyle w:val="Compact"/>
      </w:pPr>
      <w:r>
        <w:rPr>
          <w:bCs/>
          <w:b/>
        </w:rPr>
        <w:t xml:space="preserve">Energy Consumption in Use:</w:t>
      </w:r>
      <w:r>
        <w:t xml:space="preserve"> </w:t>
      </w:r>
      <w:r>
        <w:t xml:space="preserve">myktewjuyi (Illustrative: 20 kWh/year)</w:t>
      </w:r>
    </w:p>
    <w:p>
      <w:pPr>
        <w:numPr>
          <w:ilvl w:val="0"/>
          <w:numId w:val="1004"/>
        </w:numPr>
        <w:pStyle w:val="Compact"/>
      </w:pPr>
      <w:r>
        <w:rPr>
          <w:bCs/>
          <w:b/>
        </w:rPr>
        <w:t xml:space="preserve">Geographic Scope for Use Phase:</w:t>
      </w:r>
      <w:r>
        <w:t xml:space="preserve"> </w:t>
      </w:r>
      <w:r>
        <w:t xml:space="preserve">Europe Focused. The average electricity emission factor for Europe is approximately 0.181 kg CO2e/kWh (European Carbon Factor for 2024).</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xvqypsomss (Illustrative: 70%)</w:t>
      </w:r>
    </w:p>
    <w:p>
      <w:pPr>
        <w:numPr>
          <w:ilvl w:val="0"/>
          <w:numId w:val="1005"/>
        </w:numPr>
        <w:pStyle w:val="Compact"/>
      </w:pPr>
      <w:r>
        <w:rPr>
          <w:bCs/>
          <w:b/>
        </w:rPr>
        <w:t xml:space="preserve">Circular/Take-back Programs:</w:t>
      </w:r>
      <w:r>
        <w:t xml:space="preserve"> </w:t>
      </w:r>
      <w:r>
        <w:t xml:space="preserve">hekvhopmos (Illustrative: Yes, established program for core components)</w:t>
      </w:r>
    </w:p>
    <w:bookmarkEnd w:id="28"/>
    <w:bookmarkStart w:id="29" w:name="ghg-protocol-2026-lsr-update"/>
    <w:p>
      <w:pPr>
        <w:pStyle w:val="Heading3"/>
      </w:pPr>
      <w:r>
        <w:t xml:space="preserve">GHG Protocol 2026 LSR Update</w:t>
      </w:r>
    </w:p>
    <w:p>
      <w:pPr>
        <w:pStyle w:val="FirstParagraph"/>
      </w:pPr>
      <w:r>
        <w:t xml:space="preserve">The GHG Protocol Land Sector and Removals (LSR) Standard was released on January 30, 2026, and is effective from January 1, 2027. This standard provides guidance for accounting, reporting, and tracking land emissions, CO2 removals, and other key metrics, particularly for entities with significant land sector activities or those opting to report CO2 removals (e.g., from agriculture or technological CO2 removal). While the current analysis of firtypmpnr based on the provided BOM does not explicitly identify direct land-use change or agricultural inputs that would trigger extensive LSR accounting, the principles of the 2026 LSR Standard for transparent accounting of land-related impacts and carbon removals are acknowledged and would be integrated if such data becomes available in future iterations of this PCF.</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classifications. The calculations utilize the illustrative data and emission factors identified in the previous section. Note: Due to the placeholder nature of some input parameters, illustrative values have been used to demonstrate the calculation methodology.</w:t>
      </w:r>
    </w:p>
    <w:bookmarkStart w:id="31" w:name="X4732704df9aa103d9502d84e9ec814abc40da5d"/>
    <w:p>
      <w:pPr>
        <w:pStyle w:val="Heading3"/>
      </w:pPr>
      <w:r>
        <w:t xml:space="preserve">Emission Factors Used for Calculation (Illustrative)</w:t>
      </w:r>
    </w:p>
    <w:p>
      <w:pPr>
        <w:numPr>
          <w:ilvl w:val="0"/>
          <w:numId w:val="1006"/>
        </w:numPr>
        <w:pStyle w:val="Compact"/>
      </w:pPr>
      <w:r>
        <w:t xml:space="preserve">Electricity Emission Factor (China): 0.6205 kg CO2e/kWh</w:t>
      </w:r>
    </w:p>
    <w:p>
      <w:pPr>
        <w:numPr>
          <w:ilvl w:val="0"/>
          <w:numId w:val="1006"/>
        </w:numPr>
        <w:pStyle w:val="Compact"/>
      </w:pPr>
      <w:r>
        <w:t xml:space="preserve">Electricity Emission Factor (Europe Average): 0.181 kg CO2e/kWh</w:t>
      </w:r>
    </w:p>
    <w:p>
      <w:pPr>
        <w:numPr>
          <w:ilvl w:val="0"/>
          <w:numId w:val="1006"/>
        </w:numPr>
        <w:pStyle w:val="Compact"/>
      </w:pPr>
      <w:r>
        <w:t xml:space="preserve">Road Freight Emission Factor: 0.135 kg CO2e/tonne-km (tkm)</w:t>
      </w:r>
    </w:p>
    <w:p>
      <w:pPr>
        <w:numPr>
          <w:ilvl w:val="0"/>
          <w:numId w:val="1006"/>
        </w:numPr>
        <w:pStyle w:val="Compact"/>
      </w:pPr>
      <w:r>
        <w:t xml:space="preserve">Van Delivery Emission Factor: 0.24934 kg CO2e/km</w:t>
      </w:r>
    </w:p>
    <w:bookmarkEnd w:id="31"/>
    <w:bookmarkStart w:id="37" w:name="Xed9244d3591b821d71600765e358dd288dae521"/>
    <w:p>
      <w:pPr>
        <w:pStyle w:val="Heading3"/>
      </w:pPr>
      <w:r>
        <w:t xml:space="preserve">Calculations by Lifecycle Stage and Scope</w:t>
      </w:r>
    </w:p>
    <w:bookmarkStart w:id="32" w:name="Xe36db52af3666b2a4a9e8d82f981659d5d95fb8"/>
    <w:p>
      <w:pPr>
        <w:pStyle w:val="Heading4"/>
      </w:pPr>
      <w:r>
        <w:t xml:space="preserve">A. Material Acquisition (Scope 3, Category 1: Purchased goods and services)</w:t>
      </w:r>
    </w:p>
    <w:p>
      <w:pPr>
        <w:pStyle w:val="FirstParagraph"/>
      </w:pPr>
      <w:r>
        <w:t xml:space="preserve">Based on the provided (illustrative) Detailed Bill of Materials (`veqsxsol`), the total carbon footprint from raw material extraction and production is directly taken from the \'Total Carbon\' column.</w:t>
      </w:r>
    </w:p>
    <w:p>
      <w:pPr>
        <w:pStyle w:val="BodyText"/>
      </w:pPr>
      <w:r>
        <w:rPr>
          <w:bCs/>
          <w:b/>
        </w:rPr>
        <w:t xml:space="preserve">Total Material Emissions = 9.06 kg CO2e</w:t>
      </w:r>
    </w:p>
    <w:bookmarkEnd w:id="32"/>
    <w:bookmarkStart w:id="33" w:name="X15f25866248f926405f0579c2cf5ece97780889"/>
    <w:p>
      <w:pPr>
        <w:pStyle w:val="Heading4"/>
      </w:pPr>
      <w:r>
        <w:t xml:space="preserve">B. Manufacturing (Scope 2: Purchased energy)</w:t>
      </w:r>
    </w:p>
    <w:p>
      <w:pPr>
        <w:pStyle w:val="FirstParagraph"/>
      </w:pPr>
      <w:r>
        <w:t xml:space="preserve">Emissions from energy consumed during the manufacturing of firtypmpnr in China.</w:t>
      </w:r>
    </w:p>
    <w:p>
      <w:pPr>
        <w:numPr>
          <w:ilvl w:val="0"/>
          <w:numId w:val="1007"/>
        </w:numPr>
        <w:pStyle w:val="Compact"/>
      </w:pPr>
      <w:r>
        <w:t xml:space="preserve">Energy Intensity (Illustrative): 10 kWh/unit</w:t>
      </w:r>
    </w:p>
    <w:p>
      <w:pPr>
        <w:numPr>
          <w:ilvl w:val="0"/>
          <w:numId w:val="1007"/>
        </w:numPr>
        <w:pStyle w:val="Compact"/>
      </w:pPr>
      <w:r>
        <w:t xml:space="preserve">Renewable Energy Usage (Illustrative): 50%</w:t>
      </w:r>
    </w:p>
    <w:p>
      <w:pPr>
        <w:numPr>
          <w:ilvl w:val="0"/>
          <w:numId w:val="1007"/>
        </w:numPr>
        <w:pStyle w:val="Compact"/>
      </w:pPr>
      <w:r>
        <w:t xml:space="preserve">Non-Renewable Energy Usage: 10 kWh * (1 - 0.50) = 5 kWh/unit</w:t>
      </w:r>
    </w:p>
    <w:p>
      <w:pPr>
        <w:numPr>
          <w:ilvl w:val="0"/>
          <w:numId w:val="1007"/>
        </w:numPr>
        <w:pStyle w:val="Compact"/>
      </w:pPr>
      <w:r>
        <w:t xml:space="preserve">Emissions from Non-Renewable Electricity: 5 kWh/unit * 0.6205 kg CO2e/kWh (China) = 3.1025 kg CO2e/unit</w:t>
      </w:r>
    </w:p>
    <w:p>
      <w:pPr>
        <w:numPr>
          <w:ilvl w:val="0"/>
          <w:numId w:val="1007"/>
        </w:numPr>
        <w:pStyle w:val="Compact"/>
      </w:pPr>
      <w:r>
        <w:t xml:space="preserve">Emissions from Renewable Electricity: 5 kWh/unit * 0 kg CO2e/kWh = 0 kg CO2e/unit (assuming certified renewable energy with zero market-based emissions)</w:t>
      </w:r>
    </w:p>
    <w:p>
      <w:pPr>
        <w:pStyle w:val="FirstParagraph"/>
      </w:pPr>
      <w:r>
        <w:rPr>
          <w:bCs/>
          <w:b/>
        </w:rPr>
        <w:t xml:space="preserve">Total Manufacturing Emissions = 3.1025 kg CO2e</w:t>
      </w:r>
    </w:p>
    <w:bookmarkEnd w:id="33"/>
    <w:bookmarkStart w:id="34" w:name="c.-transportation-scope-3"/>
    <w:p>
      <w:pPr>
        <w:pStyle w:val="Heading4"/>
      </w:pPr>
      <w:r>
        <w:t xml:space="preserve">C. Transportation (Scope 3)</w:t>
      </w:r>
    </w:p>
    <w:p>
      <w:pPr>
        <w:pStyle w:val="FirstParagraph"/>
      </w:pPr>
      <w:r>
        <w:rPr>
          <w:bCs/>
          <w:b/>
        </w:rPr>
        <w:t xml:space="preserve">C.1. Upstream Transportation (Scope 3, Category 4: Upstream transportation and distribution)</w:t>
      </w:r>
    </w:p>
    <w:p>
      <w:pPr>
        <w:pStyle w:val="BodyText"/>
      </w:pPr>
      <w:r>
        <w:t xml:space="preserve">Transportation of raw materials and components to the manufacturing facility in China.</w:t>
      </w:r>
    </w:p>
    <w:p>
      <w:pPr>
        <w:numPr>
          <w:ilvl w:val="0"/>
          <w:numId w:val="1008"/>
        </w:numPr>
        <w:pStyle w:val="Compact"/>
      </w:pPr>
      <w:r>
        <w:t xml:space="preserve">Illustrative Total Material Weight: 1.6 kg (0.0016 tonnes)</w:t>
      </w:r>
    </w:p>
    <w:p>
      <w:pPr>
        <w:numPr>
          <w:ilvl w:val="0"/>
          <w:numId w:val="1008"/>
        </w:numPr>
        <w:pStyle w:val="Compact"/>
      </w:pPr>
      <w:r>
        <w:t xml:space="preserve">Illustrative Transport Distance (Upstream): 1000 km</w:t>
      </w:r>
    </w:p>
    <w:p>
      <w:pPr>
        <w:numPr>
          <w:ilvl w:val="0"/>
          <w:numId w:val="1008"/>
        </w:numPr>
        <w:pStyle w:val="Compact"/>
      </w:pPr>
      <w:r>
        <w:t xml:space="preserve">Illustrative Transport Mode: Road freight (truck)</w:t>
      </w:r>
    </w:p>
    <w:p>
      <w:pPr>
        <w:numPr>
          <w:ilvl w:val="0"/>
          <w:numId w:val="1008"/>
        </w:numPr>
        <w:pStyle w:val="Compact"/>
      </w:pPr>
      <w:r>
        <w:t xml:space="preserve">Emissions Calculation: 0.0016 tonnes * 1000 km * 0.135 kg CO2e/tkm = 0.216 kg CO2e</w:t>
      </w:r>
    </w:p>
    <w:p>
      <w:pPr>
        <w:pStyle w:val="FirstParagraph"/>
      </w:pPr>
      <w:r>
        <w:rPr>
          <w:bCs/>
          <w:b/>
        </w:rPr>
        <w:t xml:space="preserve">Total Upstream Transport Emissions = 0.216 kg CO2e</w:t>
      </w:r>
    </w:p>
    <w:p>
      <w:pPr>
        <w:pStyle w:val="BodyText"/>
      </w:pPr>
      <w:r>
        <w:rPr>
          <w:bCs/>
          <w:b/>
        </w:rPr>
        <w:t xml:space="preserve">C.2. Downstream Transportation (Scope 3, Category 9: Downstream transportation and distribution)</w:t>
      </w:r>
    </w:p>
    <w:p>
      <w:pPr>
        <w:pStyle w:val="BodyText"/>
      </w:pPr>
      <w:r>
        <w:t xml:space="preserve">Last-mile delivery of the finished product to the end-user in Europe.</w:t>
      </w:r>
    </w:p>
    <w:p>
      <w:pPr>
        <w:numPr>
          <w:ilvl w:val="0"/>
          <w:numId w:val="1009"/>
        </w:numPr>
        <w:pStyle w:val="Compact"/>
      </w:pPr>
      <w:r>
        <w:t xml:space="preserve">Illustrative Last-Mile Delivery Channel: Van delivery</w:t>
      </w:r>
    </w:p>
    <w:p>
      <w:pPr>
        <w:numPr>
          <w:ilvl w:val="0"/>
          <w:numId w:val="1009"/>
        </w:numPr>
        <w:pStyle w:val="Compact"/>
      </w:pPr>
      <w:r>
        <w:t xml:space="preserve">Illustrative Transport Distance (Downstream): 200 km</w:t>
      </w:r>
    </w:p>
    <w:p>
      <w:pPr>
        <w:numPr>
          <w:ilvl w:val="0"/>
          <w:numId w:val="1009"/>
        </w:numPr>
        <w:pStyle w:val="Compact"/>
      </w:pPr>
      <w:r>
        <w:t xml:space="preserve">Emissions Calculation: 200 km * 0.24934 kg CO2e/km = 49.868 kg CO2e</w:t>
      </w:r>
    </w:p>
    <w:p>
      <w:pPr>
        <w:pStyle w:val="FirstParagraph"/>
      </w:pPr>
      <w:r>
        <w:rPr>
          <w:bCs/>
          <w:b/>
        </w:rPr>
        <w:t xml:space="preserve">Total Downstream Transport (Last-Mile) Emissions = 49.868 kg CO2e</w:t>
      </w:r>
    </w:p>
    <w:bookmarkEnd w:id="34"/>
    <w:bookmarkStart w:id="35" w:name="Xa766405037aeee662637ff5823545ad106063b8"/>
    <w:p>
      <w:pPr>
        <w:pStyle w:val="Heading4"/>
      </w:pPr>
      <w:r>
        <w:t xml:space="preserve">D. Use Phase (Scope 3, Category 11: Use of sold products)</w:t>
      </w:r>
    </w:p>
    <w:p>
      <w:pPr>
        <w:pStyle w:val="FirstParagraph"/>
      </w:pPr>
      <w:r>
        <w:t xml:space="preserve">Emissions from the energy consumption during the product\'s lifespan.</w:t>
      </w:r>
    </w:p>
    <w:p>
      <w:pPr>
        <w:numPr>
          <w:ilvl w:val="0"/>
          <w:numId w:val="1010"/>
        </w:numPr>
        <w:pStyle w:val="Compact"/>
      </w:pPr>
      <w:r>
        <w:t xml:space="preserve">Illustrative Product Lifespan: 5 years</w:t>
      </w:r>
    </w:p>
    <w:p>
      <w:pPr>
        <w:numPr>
          <w:ilvl w:val="0"/>
          <w:numId w:val="1010"/>
        </w:numPr>
        <w:pStyle w:val="Compact"/>
      </w:pPr>
      <w:r>
        <w:t xml:space="preserve">Illustrative Energy Consumption in Use: 20 kWh/year</w:t>
      </w:r>
    </w:p>
    <w:p>
      <w:pPr>
        <w:numPr>
          <w:ilvl w:val="0"/>
          <w:numId w:val="1010"/>
        </w:numPr>
        <w:pStyle w:val="Compact"/>
      </w:pPr>
      <w:r>
        <w:t xml:space="preserve">Total Energy Consumption over Lifespan: 20 kWh/year * 5 years = 100 kWh</w:t>
      </w:r>
    </w:p>
    <w:p>
      <w:pPr>
        <w:numPr>
          <w:ilvl w:val="0"/>
          <w:numId w:val="1010"/>
        </w:numPr>
        <w:pStyle w:val="Compact"/>
      </w:pPr>
      <w:r>
        <w:t xml:space="preserve">Geographic Scope for Use Phase: Europe Focused</w:t>
      </w:r>
    </w:p>
    <w:p>
      <w:pPr>
        <w:numPr>
          <w:ilvl w:val="0"/>
          <w:numId w:val="1010"/>
        </w:numPr>
        <w:pStyle w:val="Compact"/>
      </w:pPr>
      <w:r>
        <w:t xml:space="preserve">Emissions Calculation: 100 kWh * 0.181 kg CO2e/kWh (Europe) = 18.10 kg CO2e</w:t>
      </w:r>
    </w:p>
    <w:p>
      <w:pPr>
        <w:pStyle w:val="FirstParagraph"/>
      </w:pPr>
      <w:r>
        <w:rPr>
          <w:bCs/>
          <w:b/>
        </w:rPr>
        <w:t xml:space="preserve">Total Use Phase Emissions = 18.10 kg CO2e</w:t>
      </w:r>
    </w:p>
    <w:bookmarkEnd w:id="35"/>
    <w:bookmarkStart w:id="36" w:name="X04c46a8720c1ebd18cd9a1f06bf7540b94d2782"/>
    <w:p>
      <w:pPr>
        <w:pStyle w:val="Heading4"/>
      </w:pPr>
      <w:r>
        <w:t xml:space="preserve">E. End-of-Life (EoL) (Scope 3, Category 12: End-of-life treatment of sold products)</w:t>
      </w:r>
    </w:p>
    <w:p>
      <w:pPr>
        <w:pStyle w:val="FirstParagraph"/>
      </w:pPr>
      <w:r>
        <w:t xml:space="preserve">Emissions and potential credits associated with the product\'s disposal and recycling.</w:t>
      </w:r>
    </w:p>
    <w:p>
      <w:pPr>
        <w:numPr>
          <w:ilvl w:val="0"/>
          <w:numId w:val="1011"/>
        </w:numPr>
        <w:pStyle w:val="Compact"/>
      </w:pPr>
      <w:r>
        <w:t xml:space="preserve">Illustrative Recyclability Percentage: 70%</w:t>
      </w:r>
    </w:p>
    <w:p>
      <w:pPr>
        <w:numPr>
          <w:ilvl w:val="0"/>
          <w:numId w:val="1011"/>
        </w:numPr>
        <w:pStyle w:val="Compact"/>
      </w:pPr>
      <w:r>
        <w:t xml:space="preserve">Illustrative Circular Programs: Yes (implying optimized collection and processing)</w:t>
      </w:r>
    </w:p>
    <w:p>
      <w:pPr>
        <w:pStyle w:val="FirstParagraph"/>
      </w:pPr>
      <w:r>
        <w:t xml:space="preserve">For EoL, we consider the emissions from the non-recycled portion of the product. Assuming the total material impact (9.06 kg CO2e) broadly represents the embodied carbon that would be released if incinerated or landfilled without recovery, we can estimate EoL emissions for the non-recycled portion.</w:t>
      </w:r>
    </w:p>
    <w:p>
      <w:pPr>
        <w:numPr>
          <w:ilvl w:val="0"/>
          <w:numId w:val="1012"/>
        </w:numPr>
        <w:pStyle w:val="Compact"/>
      </w:pPr>
      <w:r>
        <w:t xml:space="preserve">Non-Recycled Portion: (1 - 0.70) = 0.30 (30%)</w:t>
      </w:r>
    </w:p>
    <w:p>
      <w:pPr>
        <w:numPr>
          <w:ilvl w:val="0"/>
          <w:numId w:val="1012"/>
        </w:numPr>
        <w:pStyle w:val="Compact"/>
      </w:pPr>
      <w:r>
        <w:t xml:space="preserve">Estimated EoL Emissions (Illustrative - 30% of initial material impact): 9.06 kg CO2e * 0.30 = 2.718 kg CO2e</w:t>
      </w:r>
    </w:p>
    <w:p>
      <w:pPr>
        <w:numPr>
          <w:ilvl w:val="0"/>
          <w:numId w:val="1012"/>
        </w:numPr>
        <w:pStyle w:val="Compact"/>
      </w:pPr>
      <w:r>
        <w:t xml:space="preserve">The presence of circular/take-back programs suggests optimized recovery pathways that would minimize actual EoL impacts compared to a baseline scenario without such programs, but without specific factors for these programs, the above calculation represents the impact of the unrecovered materials.</w:t>
      </w:r>
    </w:p>
    <w:p>
      <w:pPr>
        <w:pStyle w:val="FirstParagraph"/>
      </w:pPr>
      <w:r>
        <w:rPr>
          <w:bCs/>
          <w:b/>
        </w:rPr>
        <w:t xml:space="preserve">Total End-of-Life Emissions = 2.718 kg CO2e</w:t>
      </w:r>
    </w:p>
    <w:bookmarkEnd w:id="36"/>
    <w:bookmarkEnd w:id="37"/>
    <w:bookmarkStart w:id="38"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9.060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3.103</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0.216</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49.868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18.100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2.718</w:t>
            </w:r>
          </w:p>
        </w:tc>
      </w:tr>
      <w:tr>
        <w:tc>
          <w:tcPr/>
          <w:p>
            <w:pPr>
              <w:pStyle w:val="Compact"/>
              <w:jc w:val="left"/>
            </w:pPr>
            <w:r>
              <w:rPr>
                <w:bCs/>
                <w:b/>
              </w:rPr>
              <w:t xml:space="preserve">Total Product Carbon Footprint (PCF)</w:t>
            </w:r>
          </w:p>
        </w:tc>
        <w:tc>
          <w:tcPr/>
          <w:p>
            <w:pPr>
              <w:pStyle w:val="Compact"/>
            </w:pPr>
          </w:p>
        </w:tc>
        <w:tc>
          <w:tcPr/>
          <w:p>
            <w:pPr>
              <w:pStyle w:val="Compact"/>
              <w:jc w:val="left"/>
            </w:pPr>
            <w:r>
              <w:rPr>
                <w:bCs/>
                <w:b/>
              </w:rPr>
              <w:t xml:space="preserve">83.065 kg CO2e</w:t>
            </w:r>
          </w:p>
        </w:tc>
      </w:tr>
    </w:tbl>
    <w:bookmarkEnd w:id="38"/>
    <w:bookmarkStart w:id="39" w:name="scope-3-compliance"/>
    <w:p>
      <w:pPr>
        <w:pStyle w:val="Heading3"/>
      </w:pPr>
      <w:r>
        <w:t xml:space="preserve">Scope 3 Compliance</w:t>
      </w:r>
    </w:p>
    <w:p>
      <w:pPr>
        <w:pStyle w:val="FirstParagraph"/>
      </w:pPr>
      <w:r>
        <w:t xml:space="preserve">The vast majority of emissions are categorized under Scope 3 (79.962 kg CO2e out of 83.065 kg CO2e, approximately 96.27%). This exceeds the 2026 requirement for at least 95% coverage for Scope 3 reporting, demonstrating a comprehensive assessment of the value chain emissions.</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calculations, the primary emission hotspots for firtypmpnr are:</w:t>
      </w:r>
    </w:p>
    <w:p>
      <w:pPr>
        <w:numPr>
          <w:ilvl w:val="0"/>
          <w:numId w:val="1013"/>
        </w:numPr>
        <w:pStyle w:val="Compact"/>
      </w:pPr>
      <w:r>
        <w:rPr>
          <w:bCs/>
          <w:b/>
        </w:rPr>
        <w:t xml:space="preserve">Downstream Transportation (Last-Mile Delivery):</w:t>
      </w:r>
      <w:r>
        <w:t xml:space="preserve"> </w:t>
      </w:r>
      <w:r>
        <w:t xml:space="preserve">At 49.868 kg CO2e, this stage accounts for approximately 60% of the total PCF. This high impact is largely due to the illustrative distance and the emission intensity of van delivery per kilometer for a single unit. Optimizing delivery routes, using electric delivery vehicles, or consolidating shipments could significantly reduce this impact.</w:t>
      </w:r>
    </w:p>
    <w:p>
      <w:pPr>
        <w:numPr>
          <w:ilvl w:val="0"/>
          <w:numId w:val="1013"/>
        </w:numPr>
        <w:pStyle w:val="Compact"/>
      </w:pPr>
      <w:r>
        <w:rPr>
          <w:bCs/>
          <w:b/>
        </w:rPr>
        <w:t xml:space="preserve">Use Phase:</w:t>
      </w:r>
      <w:r>
        <w:t xml:space="preserve"> </w:t>
      </w:r>
      <w:r>
        <w:t xml:space="preserve">Contributing 18.10 kg CO2e (approx. 21.8% of total PCF), the energy consumption during the product\'s lifespan is a significant factor. Improving energy efficiency of the product and encouraging the use of renewable energy sources by end-users are crucial mitigation strategies.</w:t>
      </w:r>
    </w:p>
    <w:p>
      <w:pPr>
        <w:numPr>
          <w:ilvl w:val="0"/>
          <w:numId w:val="1013"/>
        </w:numPr>
        <w:pStyle w:val="Compact"/>
      </w:pPr>
      <w:r>
        <w:rPr>
          <w:bCs/>
          <w:b/>
        </w:rPr>
        <w:t xml:space="preserve">Material Acquisition:</w:t>
      </w:r>
      <w:r>
        <w:t xml:space="preserve"> </w:t>
      </w:r>
      <w:r>
        <w:t xml:space="preserve">The materials used in firtypmpnr account for 9.06 kg CO2e (approx. 10.9% of total PCF). Focusing on sourcing lower-carbon materials, increasing recycled content, and designing for material efficiency can reduce this hotspot.</w:t>
      </w:r>
    </w:p>
    <w:bookmarkEnd w:id="41"/>
    <w:bookmarkStart w:id="43" w:name="reliability-and-limitations"/>
    <w:p>
      <w:pPr>
        <w:pStyle w:val="Heading3"/>
      </w:pPr>
      <w:r>
        <w:t xml:space="preserve">Reliability and Limitations</w:t>
      </w:r>
    </w:p>
    <w:p>
      <w:pPr>
        <w:pStyle w:val="FirstParagraph"/>
      </w:pPr>
      <w:r>
        <w:t xml:space="preserve">The reliability of this PCF report is directly linked to the quality and specificity of the input data. Key considerations include:</w:t>
      </w:r>
    </w:p>
    <w:p>
      <w:pPr>
        <w:numPr>
          <w:ilvl w:val="0"/>
          <w:numId w:val="1014"/>
        </w:numPr>
        <w:pStyle w:val="Compact"/>
      </w:pPr>
      <w:r>
        <w:rPr>
          <w:bCs/>
          <w:b/>
        </w:rPr>
        <w:t xml:space="preserve">Placeholder Data:</w:t>
      </w:r>
      <w:r>
        <w:t xml:space="preserve"> </w:t>
      </w:r>
      <w:r>
        <w:t xml:space="preserve">Several parameters (e.g., specific transport mode/distance, renewable energy usage percentage, energy intensity, lifespan, recyclability) were provided as generic strings. Illustrative, industry-average values and reasonable assumptions were used for these, which may introduce uncertainty compared to primary, product-specific data.</w:t>
      </w:r>
    </w:p>
    <w:p>
      <w:pPr>
        <w:numPr>
          <w:ilvl w:val="0"/>
          <w:numId w:val="1014"/>
        </w:numPr>
        <w:pStyle w:val="Compact"/>
      </w:pPr>
      <w:r>
        <w:rPr>
          <w:bCs/>
          <w:b/>
        </w:rPr>
        <w:t xml:space="preserve">Emission Factors:</w:t>
      </w:r>
      <w:r>
        <w:t xml:space="preserve"> </w:t>
      </w:r>
      <w:r>
        <w:t xml:space="preserve">While industry-standard emission factors (e.g., from IEA, EEA, DEFRA-equivalent sources) were applied for electricity and transport, specific factors can vary based on regional grids, vehicle types, and fuel sources. The \'Total Carbon\' values provided in the illustrative BOM were taken as given.</w:t>
      </w:r>
    </w:p>
    <w:p>
      <w:pPr>
        <w:numPr>
          <w:ilvl w:val="0"/>
          <w:numId w:val="1014"/>
        </w:numPr>
        <w:pStyle w:val="Compact"/>
      </w:pPr>
      <w:r>
        <w:rPr>
          <w:bCs/>
          <w:b/>
        </w:rPr>
        <w:t xml:space="preserve">System Boundary Interpretation:</w:t>
      </w:r>
      <w:r>
        <w:t xml:space="preserve"> </w:t>
      </w:r>
      <w:r>
        <w:t xml:space="preserve">The extension from a specified `factory_gate` to a `cradle-to-grave` boundary was necessary to fulfill all requested analysis components, providing a more holistic view of the product\'s impact.</w:t>
      </w:r>
    </w:p>
    <w:p>
      <w:pPr>
        <w:numPr>
          <w:ilvl w:val="0"/>
          <w:numId w:val="1014"/>
        </w:numPr>
        <w:pStyle w:val="Compact"/>
      </w:pPr>
      <w:r>
        <w:rPr>
          <w:bCs/>
          <w:b/>
        </w:rPr>
        <w:t xml:space="preserve">LSR Standard:</w:t>
      </w:r>
      <w:r>
        <w:t xml:space="preserve"> </w:t>
      </w:r>
      <w:r>
        <w:t xml:space="preserve">As the 2026 LSR Standard is newly released and takes effect in 2027, the full implementation guidance is still developing (expected in Q2 2026). While acknowledged, detailed land-use related impacts were not quantifiable from the provided product data.</w:t>
      </w:r>
    </w:p>
    <w:p>
      <w:pPr>
        <w:pStyle w:val="FirstParagraph"/>
      </w:pPr>
      <w:r>
        <w:t xml:space="preserve">For future analyses, obtaining precise, primary data for all lifecycle stages, particularly for actual transportation modes, distances, and specific end-of-life processing, will enhance the accuracy and robustness of the PCF. Furthermore, a detailed breakdown of Scope 1 emissions at the manufacturing facility (if applicable beyond purchased electricity) would provide a more complete picture.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2" w:name="pageNumbe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firtypmpnr</dc:title>
  <dc:creator/>
  <dc:description>High-detail Product Carbon Footprint (PCF) analysis for firtypmpnr, prepared by jgpiqxyuvj, Senior Sustainability Consultant at hgnzerszyf, adhering to GHG Protocol and 2026 LSR Update.</dc:description>
  <dc:language>en</dc:language>
  <cp:keywords/>
  <dcterms:created xsi:type="dcterms:W3CDTF">2026-07-15T03:57:13Z</dcterms:created>
  <dcterms:modified xsi:type="dcterms:W3CDTF">2026-07-15T03:57:13Z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