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finznydjof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finznydjof</w:t>
      </w:r>
    </w:p>
    <w:p>
      <w:pPr>
        <w:pStyle w:val="BodyText"/>
      </w:pPr>
      <w:r>
        <w:rPr>
          <w:bCs/>
          <w:b/>
        </w:rPr>
        <w:t xml:space="preserve">Company Name:</w:t>
      </w:r>
      <w:r>
        <w:t xml:space="preserve"> </w:t>
      </w:r>
      <w:r>
        <w:t xml:space="preserve">dpyprljqdx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yklmmtvgjg</w:t>
      </w:r>
    </w:p>
    <w:p>
      <w:pPr>
        <w:pStyle w:val="BodyText"/>
      </w:pPr>
      <w:r>
        <w:t xml:space="preserve">This report is generated based on available data and industry standards. While every effort has been made to ensure accuracy, the results are indicative and subject to the precision and completeness of the provided input parameters and chosen emission factors.</w:t>
      </w:r>
    </w:p>
    <w:bookmarkEnd w:id="20"/>
    <w:p>
      <w:pPr>
        <w:pStyle w:val="BodyText"/>
      </w:pPr>
      <w:r>
        <w:t xml:space="preserve">Generated Date: May 21, 2026</w:t>
      </w:r>
    </w:p>
    <w:bookmarkStart w:id="86" w:name="Xcffb37a5b86ee6962676e9d2a58cf2a46c2b8d7"/>
    <w:p>
      <w:pPr>
        <w:pStyle w:val="Heading1"/>
      </w:pPr>
      <w:r>
        <w:t xml:space="preserve">Product Carbon Footprint Analysis for finznydjof</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"finznydjof," manufactured by "dpyprljqdx." The analysis was performed by yklmmtvgjg, a Senior Sustainability Consultant specializing in the GHG Protocol. The total cradle-to-gate-plus-use-and-end-of-life carbon footprint for one functional unit (1.0 unit) of finznydjof is calculated to be approximately</w:t>
      </w:r>
      <w:r>
        <w:t xml:space="preserve"> </w:t>
      </w:r>
      <w:r>
        <w:rPr>
          <w:bCs/>
          <w:b/>
        </w:rPr>
        <w:t xml:space="preserve">44.28 kg CO2e</w:t>
      </w:r>
      <w:r>
        <w:t xml:space="preserve">. The primary hotspots identified are the material acquisition and the product\'s use phase, largely due to energy consumption.</w:t>
      </w:r>
    </w:p>
    <w:bookmarkEnd w:id="21"/>
    <w:bookmarkStart w:id="22" w:name="introduction"/>
    <w:p>
      <w:pPr>
        <w:pStyle w:val="Heading2"/>
      </w:pPr>
      <w:r>
        <w:t xml:space="preserve">2. Introduction</w:t>
      </w:r>
    </w:p>
    <w:p>
      <w:pPr>
        <w:pStyle w:val="FirstParagraph"/>
      </w:pPr>
      <w:r>
        <w:t xml:space="preserve">This Product Carbon Footprint (PCF) analysis quantifies the greenhouse gas (GHG) emissions associated with the lifecycle of the product finznydjof. The analysis adheres to the GHG Protocol and aims to provide dpyprljqdx with insights into the environmental impact of its product, identifying key emission hotspots and informing sustainability strategies.</w:t>
      </w:r>
    </w:p>
    <w:p>
      <w:pPr>
        <w:numPr>
          <w:ilvl w:val="0"/>
          <w:numId w:val="1001"/>
        </w:numPr>
        <w:pStyle w:val="Compact"/>
      </w:pPr>
      <w:r>
        <w:rPr>
          <w:bCs/>
          <w:b/>
        </w:rPr>
        <w:t xml:space="preserve">Product Name:</w:t>
      </w:r>
      <w:r>
        <w:t xml:space="preserve"> </w:t>
      </w:r>
      <w:r>
        <w:t xml:space="preserve">finznydjof</w:t>
      </w:r>
    </w:p>
    <w:p>
      <w:pPr>
        <w:numPr>
          <w:ilvl w:val="0"/>
          <w:numId w:val="1001"/>
        </w:numPr>
        <w:pStyle w:val="Compact"/>
      </w:pPr>
      <w:r>
        <w:rPr>
          <w:bCs/>
          <w:b/>
        </w:rPr>
        <w:t xml:space="preserve">Company Name:</w:t>
      </w:r>
      <w:r>
        <w:t xml:space="preserve"> </w:t>
      </w:r>
      <w:r>
        <w:t xml:space="preserve">dpyprljqdx</w:t>
      </w:r>
    </w:p>
    <w:p>
      <w:pPr>
        <w:numPr>
          <w:ilvl w:val="0"/>
          <w:numId w:val="1001"/>
        </w:numPr>
        <w:pStyle w:val="Compact"/>
      </w:pPr>
      <w:r>
        <w:rPr>
          <w:bCs/>
          <w:b/>
        </w:rPr>
        <w:t xml:space="preserve">Senior Sustainability Consultant:</w:t>
      </w:r>
      <w:r>
        <w:t xml:space="preserve"> </w:t>
      </w:r>
      <w:r>
        <w:t xml:space="preserve">yklmmtvgjg</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finznydjof</w:t>
      </w:r>
    </w:p>
    <w:p>
      <w:pPr>
        <w:numPr>
          <w:ilvl w:val="0"/>
          <w:numId w:val="1001"/>
        </w:numPr>
        <w:pStyle w:val="Compact"/>
      </w:pPr>
      <w:r>
        <w:rPr>
          <w:bCs/>
          <w:b/>
        </w:rPr>
        <w:t xml:space="preserve">System Boundary:</w:t>
      </w:r>
      <w:r>
        <w:t xml:space="preserve"> </w:t>
      </w:r>
      <w:r>
        <w:t xml:space="preserve">factory_gate (with additional downstream stages: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bookmarkEnd w:id="22"/>
    <w:bookmarkStart w:id="29" w:name="methodology"/>
    <w:p>
      <w:pPr>
        <w:pStyle w:val="Heading2"/>
      </w:pPr>
      <w:r>
        <w:t xml:space="preserve">3. Methodology</w:t>
      </w:r>
    </w:p>
    <w:p>
      <w:pPr>
        <w:pStyle w:val="FirstParagraph"/>
      </w:pPr>
      <w:r>
        <w:t xml:space="preserve">The PCF analysis followed a systematic five-step methodology in accordance with the GHG Protocol Product Standard:</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finznydjof.</w:t>
      </w:r>
    </w:p>
    <w:p>
      <w:pPr>
        <w:numPr>
          <w:ilvl w:val="1"/>
          <w:numId w:val="1003"/>
        </w:numPr>
        <w:pStyle w:val="Compact"/>
      </w:pPr>
      <w:r>
        <w:rPr>
          <w:bCs/>
          <w:b/>
        </w:rPr>
        <w:t xml:space="preserve">System Boundaries:</w:t>
      </w:r>
      <w:r>
        <w:t xml:space="preserve"> </w:t>
      </w:r>
      <w:r>
        <w:t xml:space="preserve">Cradle-to-grave, encompassing material acquisition, manufacturing (factory_gate), transportation to market, product use, and end-of-life treatment.</w:t>
      </w:r>
    </w:p>
    <w:p>
      <w:pPr>
        <w:numPr>
          <w:ilvl w:val="1"/>
          <w:numId w:val="1003"/>
        </w:numPr>
        <w:pStyle w:val="Compact"/>
      </w:pPr>
      <w:r>
        <w:rPr>
          <w:bCs/>
          <w:b/>
        </w:rPr>
        <w:t xml:space="preserve">Geographic Scope:</w:t>
      </w:r>
      <w:r>
        <w:t xml:space="preserve"> </w:t>
      </w:r>
      <w:r>
        <w:t xml:space="preserve">Final production in China, with a supply chain focus on Europe. Use phase and End-of-Life considerations reflect typical global/European context where applicable.</w:t>
      </w:r>
    </w:p>
    <w:p>
      <w:pPr>
        <w:numPr>
          <w:ilvl w:val="1"/>
          <w:numId w:val="1003"/>
        </w:numPr>
        <w:pStyle w:val="Compact"/>
      </w:pPr>
      <w:r>
        <w:rPr>
          <w:bCs/>
          <w:b/>
        </w:rPr>
        <w:t xml:space="preserve">Allocation:</w:t>
      </w:r>
      <w:r>
        <w:t xml:space="preserve"> </w:t>
      </w:r>
      <w:r>
        <w:t xml:space="preserve">Emissions are allocated directly to the functional unit.</w:t>
      </w:r>
    </w:p>
    <w:p>
      <w:pPr>
        <w:numPr>
          <w:ilvl w:val="0"/>
          <w:numId w:val="1002"/>
        </w:numPr>
        <w:pStyle w:val="Compact"/>
      </w:pPr>
      <w:r>
        <w:rPr>
          <w:bCs/>
          <w:b/>
        </w:rPr>
        <w:t xml:space="preserve">Map Lifecycle (LCI Inventory Stages):</w:t>
      </w:r>
    </w:p>
    <w:p>
      <w:pPr>
        <w:numPr>
          <w:ilvl w:val="1"/>
          <w:numId w:val="1004"/>
        </w:numPr>
        <w:pStyle w:val="Compact"/>
      </w:pPr>
      <w:r>
        <w:rPr>
          <w:bCs/>
          <w:b/>
        </w:rPr>
        <w:t xml:space="preserve">Material Acquisition &amp; Pre-processing:</w:t>
      </w:r>
      <w:r>
        <w:t xml:space="preserve"> </w:t>
      </w:r>
      <w:r>
        <w:t xml:space="preserve">Extraction and processing of raw materials.</w:t>
      </w:r>
    </w:p>
    <w:p>
      <w:pPr>
        <w:numPr>
          <w:ilvl w:val="1"/>
          <w:numId w:val="1004"/>
        </w:numPr>
        <w:pStyle w:val="Compact"/>
      </w:pPr>
      <w:r>
        <w:rPr>
          <w:bCs/>
          <w:b/>
        </w:rPr>
        <w:t xml:space="preserve">Manufacturing:</w:t>
      </w:r>
      <w:r>
        <w:t xml:space="preserve"> </w:t>
      </w:r>
      <w:r>
        <w:t xml:space="preserve">Assembly and fabrication at the dpyprljqdx production facility in China.</w:t>
      </w:r>
    </w:p>
    <w:p>
      <w:pPr>
        <w:numPr>
          <w:ilvl w:val="1"/>
          <w:numId w:val="1004"/>
        </w:numPr>
        <w:pStyle w:val="Compact"/>
      </w:pPr>
      <w:r>
        <w:rPr>
          <w:bCs/>
          <w:b/>
        </w:rPr>
        <w:t xml:space="preserve">Transportation:</w:t>
      </w:r>
      <w:r>
        <w:t xml:space="preserve"> </w:t>
      </w:r>
      <w:r>
        <w:t xml:space="preserve">Upstream (materials to factory), inter-facility, and downstream (from factory to customer, including last-mile).</w:t>
      </w:r>
    </w:p>
    <w:p>
      <w:pPr>
        <w:numPr>
          <w:ilvl w:val="1"/>
          <w:numId w:val="1004"/>
        </w:numPr>
        <w:pStyle w:val="Compact"/>
      </w:pPr>
      <w:r>
        <w:rPr>
          <w:bCs/>
          <w:b/>
        </w:rPr>
        <w:t xml:space="preserve">Use Phase:</w:t>
      </w:r>
      <w:r>
        <w:t xml:space="preserve"> </w:t>
      </w:r>
      <w:r>
        <w:t xml:space="preserve">Energy consumption during the product\'s expected lifespan.</w:t>
      </w:r>
    </w:p>
    <w:p>
      <w:pPr>
        <w:numPr>
          <w:ilvl w:val="1"/>
          <w:numId w:val="1004"/>
        </w:numPr>
        <w:pStyle w:val="Compact"/>
      </w:pPr>
      <w:r>
        <w:rPr>
          <w:bCs/>
          <w:b/>
        </w:rPr>
        <w:t xml:space="preserve">End-of-Life:</w:t>
      </w:r>
      <w:r>
        <w:t xml:space="preserve"> </w:t>
      </w:r>
      <w:r>
        <w:t xml:space="preserve">Disposal scenarios including recycling and landfill.</w:t>
      </w:r>
    </w:p>
    <w:p>
      <w:pPr>
        <w:numPr>
          <w:ilvl w:val="0"/>
          <w:numId w:val="1002"/>
        </w:numPr>
      </w:pPr>
      <w:r>
        <w:rPr>
          <w:bCs/>
          <w:b/>
        </w:rPr>
        <w:t xml:space="preserve">Collect Data (Primary/Secondary Data Points):</w:t>
      </w:r>
    </w:p>
    <w:p>
      <w:pPr>
        <w:numPr>
          <w:ilvl w:val="0"/>
          <w:numId w:val="1000"/>
        </w:numPr>
      </w:pPr>
      <w:r>
        <w:t xml:space="preserve">Primary data for company-specific operations (e.g., energy consumption, renewable energy usage) were utilized where provided. For material and transport emission factors, industry-standard secondary data (e.g., from Ecoinvent, DEFRA, Climatiq, OpenCO2.net) were applied. Where specific data points were placeholders in the prompt (e.g., "zzvnypdj" for BOM, "Select Mode" for transport), illustrative, representative values following the specified formats were generated for calculation demonstration. All calculations use the specified parameters.</w:t>
      </w:r>
    </w:p>
    <w:p>
      <w:pPr>
        <w:numPr>
          <w:ilvl w:val="0"/>
          <w:numId w:val="1000"/>
        </w:numPr>
        <w:pStyle w:val="Heading3"/>
      </w:pPr>
      <w:bookmarkStart w:id="23" w:name="X7de49a9f952ec580b6547d32375349ce7a8f4ce"/>
      <w:r>
        <w:t xml:space="preserve">Detailed Breakdown of Inputs (Illustrative Data)</w:t>
      </w:r>
      <w:bookmarkEnd w:id="23"/>
    </w:p>
    <w:p>
      <w:pPr>
        <w:numPr>
          <w:ilvl w:val="0"/>
          <w:numId w:val="1000"/>
        </w:numPr>
      </w:pPr>
      <w:r>
        <w:t xml:space="preserve">The following tables illustrate the detailed Bill of Materials (BOM) and energy customization data, using example values that adhere to the specified format and parameters (e.g., "zzvnypdj", "rsyhhogepx", "oqpnyoydtj", etc. were interpreted as placeholders for these types of data).</w:t>
      </w:r>
    </w:p>
    <w:p>
      <w:pPr>
        <w:numPr>
          <w:ilvl w:val="0"/>
          <w:numId w:val="1000"/>
        </w:numPr>
        <w:pStyle w:val="Heading4"/>
      </w:pPr>
      <w:bookmarkStart w:id="24" w:name="Xfaf11193877f5e1d85f0ff0c149f86cbe303a8e"/>
      <w:r>
        <w:t xml:space="preserve">Detailed Bill of Materials (BOM) - finznydjof</w:t>
      </w:r>
      <w:bookmarkEnd w:id="24"/>
    </w:p>
    <w:p>
      <w:pPr>
        <w:numPr>
          <w:ilvl w:val="0"/>
          <w:numId w:val="1000"/>
        </w:numPr>
      </w:pPr>
      <w:r>
        <w:t xml:space="preserve">The BOM data below is illustrative, generated to demonstrate calculations based on the format specified for "zzvnypdj".</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14.77</w:t>
            </w:r>
            <w:r>
              <w:t xml:space="preserve"> </w:t>
            </w:r>
            <w:hyperlink w:anchor="ref-4"/>
          </w:p>
        </w:tc>
        <w:tc>
          <w:tcPr/>
          <w:p>
            <w:pPr>
              <w:pStyle w:val="Compact"/>
              <w:jc w:val="left"/>
            </w:pPr>
            <w:r>
              <w:t xml:space="preserve">14.77</w:t>
            </w:r>
          </w:p>
        </w:tc>
      </w:tr>
      <w:tr>
        <w:tc>
          <w:tcPr/>
          <w:p>
            <w:pPr>
              <w:pStyle w:val="Compact"/>
              <w:jc w:val="left"/>
            </w:pPr>
            <w:r>
              <w:t xml:space="preserve">2</w:t>
            </w:r>
          </w:p>
        </w:tc>
        <w:tc>
          <w:tcPr/>
          <w:p>
            <w:pPr>
              <w:pStyle w:val="Compact"/>
              <w:jc w:val="left"/>
            </w:pPr>
            <w:r>
              <w:t xml:space="preserve">Steel Screws &amp; Brackets</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1.77</w:t>
            </w:r>
            <w:r>
              <w:t xml:space="preserve"> </w:t>
            </w:r>
            <w:hyperlink w:anchor="ref-2"/>
          </w:p>
        </w:tc>
        <w:tc>
          <w:tcPr/>
          <w:p>
            <w:pPr>
              <w:pStyle w:val="Compact"/>
              <w:jc w:val="left"/>
            </w:pPr>
            <w:r>
              <w:t xml:space="preserve">0.354</w:t>
            </w:r>
          </w:p>
        </w:tc>
      </w:tr>
      <w:tr>
        <w:tc>
          <w:tcPr/>
          <w:p>
            <w:pPr>
              <w:pStyle w:val="Compact"/>
              <w:jc w:val="left"/>
            </w:pPr>
            <w:r>
              <w:t xml:space="preserve">3</w:t>
            </w:r>
          </w:p>
        </w:tc>
        <w:tc>
          <w:tcPr/>
          <w:p>
            <w:pPr>
              <w:pStyle w:val="Compact"/>
              <w:jc w:val="left"/>
            </w:pPr>
            <w:r>
              <w:t xml:space="preserve">PP Plastic Enclosure</w:t>
            </w:r>
          </w:p>
        </w:tc>
        <w:tc>
          <w:tcPr/>
          <w:p>
            <w:pPr>
              <w:pStyle w:val="Compact"/>
              <w:jc w:val="left"/>
            </w:pPr>
            <w:r>
              <w:t xml:space="preserve">Plastic</w:t>
            </w:r>
          </w:p>
        </w:tc>
        <w:tc>
          <w:tcPr/>
          <w:p>
            <w:pPr>
              <w:pStyle w:val="Compact"/>
              <w:jc w:val="left"/>
            </w:pPr>
            <w:r>
              <w:t xml:space="preserve">Virgin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4.77</w:t>
            </w:r>
            <w:r>
              <w:t xml:space="preserve"> </w:t>
            </w:r>
            <w:hyperlink w:anchor="ref-30"/>
          </w:p>
        </w:tc>
        <w:tc>
          <w:tcPr/>
          <w:p>
            <w:pPr>
              <w:pStyle w:val="Compact"/>
              <w:jc w:val="left"/>
            </w:pPr>
            <w:r>
              <w:t xml:space="preserve">2.385</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13.0 (derived PCB/kg based on typical component mix)</w:t>
            </w:r>
          </w:p>
        </w:tc>
        <w:tc>
          <w:tcPr/>
          <w:p>
            <w:pPr>
              <w:pStyle w:val="Compact"/>
              <w:jc w:val="left"/>
            </w:pPr>
            <w:r>
              <w:t xml:space="preserve">3.9</w:t>
            </w:r>
          </w:p>
        </w:tc>
      </w:tr>
      <w:tr>
        <w:tc>
          <w:tcPr>
            <w:gridSpan w:val="6"/>
          </w:tcPr>
          <w:p>
            <w:pPr>
              <w:pStyle w:val="Compact"/>
              <w:jc w:val="left"/>
            </w:pPr>
            <w:r>
              <w:t xml:space="preserve">Total Material Mass / Carbon Emissions</w:t>
            </w:r>
          </w:p>
        </w:tc>
        <w:tc>
          <w:tcPr/>
          <w:p>
            <w:pPr>
              <w:pStyle w:val="Compact"/>
            </w:pPr>
          </w:p>
        </w:tc>
        <w:tc>
          <w:tcPr/>
          <w:p>
            <w:pPr>
              <w:pStyle w:val="Compact"/>
              <w:jc w:val="left"/>
            </w:pPr>
            <w:r>
              <w:t xml:space="preserve">21.409</w:t>
            </w:r>
          </w:p>
        </w:tc>
      </w:tr>
    </w:tbl>
    <w:p>
      <w:pPr>
        <w:numPr>
          <w:ilvl w:val="0"/>
          <w:numId w:val="1000"/>
        </w:numPr>
        <w:pStyle w:val="Heading4"/>
      </w:pPr>
      <w:bookmarkStart w:id="25" w:name="production-energy-customization-data"/>
      <w:r>
        <w:t xml:space="preserve">Production Energy Customization Data</w:t>
      </w:r>
      <w:bookmarkEnd w:id="25"/>
    </w:p>
    <w:p>
      <w:pPr>
        <w:numPr>
          <w:ilvl w:val="1"/>
          <w:numId w:val="1005"/>
        </w:numPr>
        <w:pStyle w:val="Compact"/>
      </w:pPr>
      <w:r>
        <w:rPr>
          <w:bCs/>
          <w:b/>
        </w:rPr>
        <w:t xml:space="preserve">Renewable Energy Usage:</w:t>
      </w:r>
      <w:r>
        <w:t xml:space="preserve"> </w:t>
      </w:r>
      <w:r>
        <w:t xml:space="preserve">30% (rsyhhogepx)</w:t>
      </w:r>
    </w:p>
    <w:p>
      <w:pPr>
        <w:numPr>
          <w:ilvl w:val="1"/>
          <w:numId w:val="1005"/>
        </w:numPr>
        <w:pStyle w:val="Compact"/>
      </w:pPr>
      <w:r>
        <w:rPr>
          <w:bCs/>
          <w:b/>
        </w:rPr>
        <w:t xml:space="preserve">Energy Intensity (kWh/unit):</w:t>
      </w:r>
      <w:r>
        <w:t xml:space="preserve"> </w:t>
      </w:r>
      <w:r>
        <w:t xml:space="preserve">25 kWh/unit (oqpnyoydtj)</w:t>
      </w:r>
    </w:p>
    <w:p>
      <w:pPr>
        <w:numPr>
          <w:ilvl w:val="1"/>
          <w:numId w:val="1005"/>
        </w:numPr>
        <w:pStyle w:val="Compact"/>
      </w:pPr>
      <w:r>
        <w:rPr>
          <w:bCs/>
          <w:b/>
        </w:rPr>
        <w:t xml:space="preserve">China Electricity Grid Mix Emission Factor:</w:t>
      </w:r>
      <w:r>
        <w:t xml:space="preserve"> </w:t>
      </w:r>
      <w:r>
        <w:t xml:space="preserve">0.6205 kg CO2e/kWh</w:t>
      </w:r>
      <w:r>
        <w:t xml:space="preserve"> </w:t>
      </w:r>
      <w:hyperlink w:anchor="ref-9"/>
    </w:p>
    <w:p>
      <w:pPr>
        <w:numPr>
          <w:ilvl w:val="0"/>
          <w:numId w:val="1000"/>
        </w:numPr>
        <w:pStyle w:val="Heading4"/>
      </w:pPr>
      <w:bookmarkStart w:id="26" w:name="logistics-data"/>
      <w:r>
        <w:t xml:space="preserve">Logistics Data</w:t>
      </w:r>
      <w:bookmarkEnd w:id="26"/>
    </w:p>
    <w:p>
      <w:pPr>
        <w:numPr>
          <w:ilvl w:val="1"/>
          <w:numId w:val="1006"/>
        </w:numPr>
        <w:pStyle w:val="Compact"/>
      </w:pPr>
      <w:r>
        <w:rPr>
          <w:bCs/>
          <w:b/>
        </w:rPr>
        <w:t xml:space="preserve">Transport Mode:</w:t>
      </w:r>
      <w:r>
        <w:t xml:space="preserve"> </w:t>
      </w:r>
      <w:r>
        <w:t xml:space="preserve">Ocean Freight + Road (Select Mode)</w:t>
      </w:r>
    </w:p>
    <w:p>
      <w:pPr>
        <w:numPr>
          <w:ilvl w:val="1"/>
          <w:numId w:val="1006"/>
        </w:numPr>
        <w:pStyle w:val="Compact"/>
      </w:pPr>
      <w:r>
        <w:rPr>
          <w:bCs/>
          <w:b/>
        </w:rPr>
        <w:t xml:space="preserve">Transport Distance:</w:t>
      </w:r>
      <w:r>
        <w:t xml:space="preserve"> </w:t>
      </w:r>
      <w:r>
        <w:t xml:space="preserve">10000 km (ocean) + 500 km (road) (vssldxkqqj)</w:t>
      </w:r>
    </w:p>
    <w:p>
      <w:pPr>
        <w:numPr>
          <w:ilvl w:val="1"/>
          <w:numId w:val="1006"/>
        </w:numPr>
        <w:pStyle w:val="Compact"/>
      </w:pPr>
      <w:r>
        <w:rPr>
          <w:bCs/>
          <w:b/>
        </w:rPr>
        <w:t xml:space="preserve">Last-Mile Delivery Channel:</w:t>
      </w:r>
      <w:r>
        <w:t xml:space="preserve"> </w:t>
      </w:r>
      <w:r>
        <w:t xml:space="preserve">Courier Van (Delivery Type) - assumed additional 100 km for last-mile.</w:t>
      </w:r>
    </w:p>
    <w:p>
      <w:pPr>
        <w:numPr>
          <w:ilvl w:val="1"/>
          <w:numId w:val="1006"/>
        </w:numPr>
        <w:pStyle w:val="Compact"/>
      </w:pPr>
      <w:r>
        <w:rPr>
          <w:bCs/>
          <w:b/>
        </w:rPr>
        <w:t xml:space="preserve">Assumed Product Mass for Transport:</w:t>
      </w:r>
      <w:r>
        <w:t xml:space="preserve"> </w:t>
      </w:r>
      <w:r>
        <w:t xml:space="preserve">2 kg (0.002 tonnes)</w:t>
      </w:r>
    </w:p>
    <w:p>
      <w:pPr>
        <w:numPr>
          <w:ilvl w:val="1"/>
          <w:numId w:val="1006"/>
        </w:numPr>
        <w:pStyle w:val="Compact"/>
      </w:pPr>
      <w:r>
        <w:rPr>
          <w:bCs/>
          <w:b/>
        </w:rPr>
        <w:t xml:space="preserve">Ocean Freight Emission Factor:</w:t>
      </w:r>
      <w:r>
        <w:t xml:space="preserve"> </w:t>
      </w:r>
      <w:r>
        <w:t xml:space="preserve">0.016 kg CO2e/tkm</w:t>
      </w:r>
      <w:r>
        <w:t xml:space="preserve"> </w:t>
      </w:r>
      <w:hyperlink w:anchor="ref-6"/>
    </w:p>
    <w:p>
      <w:pPr>
        <w:numPr>
          <w:ilvl w:val="1"/>
          <w:numId w:val="1006"/>
        </w:numPr>
        <w:pStyle w:val="Compact"/>
      </w:pPr>
      <w:r>
        <w:rPr>
          <w:bCs/>
          <w:b/>
        </w:rPr>
        <w:t xml:space="preserve">Road Freight Emission Factor (General):</w:t>
      </w:r>
      <w:r>
        <w:t xml:space="preserve"> </w:t>
      </w:r>
      <w:r>
        <w:t xml:space="preserve">0.069 kg CO2e/tkm</w:t>
      </w:r>
      <w:r>
        <w:t xml:space="preserve"> </w:t>
      </w:r>
      <w:hyperlink w:anchor="ref-26"/>
    </w:p>
    <w:p>
      <w:pPr>
        <w:numPr>
          <w:ilvl w:val="1"/>
          <w:numId w:val="1006"/>
        </w:numPr>
        <w:pStyle w:val="Compact"/>
      </w:pPr>
      <w:r>
        <w:rPr>
          <w:bCs/>
          <w:b/>
        </w:rPr>
        <w:t xml:space="preserve">Road Freight Emission Factor (Courier Van / Last-Mile for 2kg package):</w:t>
      </w:r>
      <w:r>
        <w:t xml:space="preserve"> </w:t>
      </w:r>
      <w:r>
        <w:t xml:space="preserve">~0.105 kg CO2e/tkm (derived from 0.21kg CO2e for 1000km, 2kg package)</w:t>
      </w:r>
      <w:r>
        <w:t xml:space="preserve"> </w:t>
      </w:r>
      <w:hyperlink w:anchor="ref-21"/>
    </w:p>
    <w:p>
      <w:pPr>
        <w:numPr>
          <w:ilvl w:val="0"/>
          <w:numId w:val="1000"/>
        </w:numPr>
        <w:pStyle w:val="Heading4"/>
      </w:pPr>
      <w:bookmarkStart w:id="27" w:name="use-phase-data"/>
      <w:r>
        <w:t xml:space="preserve">Use Phase Data</w:t>
      </w:r>
      <w:bookmarkEnd w:id="27"/>
    </w:p>
    <w:p>
      <w:pPr>
        <w:numPr>
          <w:ilvl w:val="1"/>
          <w:numId w:val="1007"/>
        </w:numPr>
        <w:pStyle w:val="Compact"/>
      </w:pPr>
      <w:r>
        <w:rPr>
          <w:bCs/>
          <w:b/>
        </w:rPr>
        <w:t xml:space="preserve">Product Lifespan:</w:t>
      </w:r>
      <w:r>
        <w:t xml:space="preserve"> </w:t>
      </w:r>
      <w:r>
        <w:t xml:space="preserve">5 years (niplomfrfj)</w:t>
      </w:r>
    </w:p>
    <w:p>
      <w:pPr>
        <w:numPr>
          <w:ilvl w:val="1"/>
          <w:numId w:val="1007"/>
        </w:numPr>
        <w:pStyle w:val="Compact"/>
      </w:pPr>
      <w:r>
        <w:rPr>
          <w:bCs/>
          <w:b/>
        </w:rPr>
        <w:t xml:space="preserve">Energy Consumption in Use:</w:t>
      </w:r>
      <w:r>
        <w:t xml:space="preserve"> </w:t>
      </w:r>
      <w:r>
        <w:t xml:space="preserve">10 kWh/year (kmhhnzpswe)</w:t>
      </w:r>
    </w:p>
    <w:p>
      <w:pPr>
        <w:numPr>
          <w:ilvl w:val="1"/>
          <w:numId w:val="1007"/>
        </w:numPr>
        <w:pStyle w:val="Compact"/>
      </w:pPr>
      <w:r>
        <w:rPr>
          <w:bCs/>
          <w:b/>
        </w:rPr>
        <w:t xml:space="preserve">European Average Electricity Grid Mix Emission Factor:</w:t>
      </w:r>
      <w:r>
        <w:t xml:space="preserve"> </w:t>
      </w:r>
      <w:r>
        <w:t xml:space="preserve">0.226 kg CO2/kWh</w:t>
      </w:r>
      <w:r>
        <w:t xml:space="preserve"> </w:t>
      </w:r>
      <w:hyperlink w:anchor="ref-19"/>
    </w:p>
    <w:p>
      <w:pPr>
        <w:numPr>
          <w:ilvl w:val="0"/>
          <w:numId w:val="1000"/>
        </w:numPr>
        <w:pStyle w:val="Heading4"/>
      </w:pPr>
      <w:bookmarkStart w:id="28" w:name="end-of-life-eol-scenarios"/>
      <w:r>
        <w:t xml:space="preserve">End-of-Life (EoL) Scenarios</w:t>
      </w:r>
      <w:bookmarkEnd w:id="28"/>
    </w:p>
    <w:p>
      <w:pPr>
        <w:numPr>
          <w:ilvl w:val="1"/>
          <w:numId w:val="1008"/>
        </w:numPr>
        <w:pStyle w:val="Compact"/>
      </w:pPr>
      <w:r>
        <w:rPr>
          <w:bCs/>
          <w:b/>
        </w:rPr>
        <w:t xml:space="preserve">Recyclability Percentage:</w:t>
      </w:r>
      <w:r>
        <w:t xml:space="preserve"> </w:t>
      </w:r>
      <w:r>
        <w:t xml:space="preserve">70% (lmfjzlrjvd)</w:t>
      </w:r>
    </w:p>
    <w:p>
      <w:pPr>
        <w:numPr>
          <w:ilvl w:val="1"/>
          <w:numId w:val="1008"/>
        </w:numPr>
        <w:pStyle w:val="Compact"/>
      </w:pPr>
      <w:r>
        <w:rPr>
          <w:bCs/>
          <w:b/>
        </w:rPr>
        <w:t xml:space="preserve">Circular/Take-back Programs:</w:t>
      </w:r>
      <w:r>
        <w:t xml:space="preserve"> </w:t>
      </w:r>
      <w:r>
        <w:t xml:space="preserve">Yes, established regional program (gwouytqtuy)</w:t>
      </w:r>
    </w:p>
    <w:p>
      <w:pPr>
        <w:numPr>
          <w:ilvl w:val="1"/>
          <w:numId w:val="1008"/>
        </w:numPr>
        <w:pStyle w:val="Compact"/>
      </w:pPr>
      <w:r>
        <w:rPr>
          <w:bCs/>
          <w:b/>
        </w:rPr>
        <w:t xml:space="preserve">Assumed Emissions from Mixed Recycling Process:</w:t>
      </w:r>
      <w:r>
        <w:t xml:space="preserve"> </w:t>
      </w:r>
      <w:r>
        <w:t xml:space="preserve">0.2 kg CO2e/kg (illustrative)</w:t>
      </w:r>
    </w:p>
    <w:p>
      <w:pPr>
        <w:numPr>
          <w:ilvl w:val="1"/>
          <w:numId w:val="1008"/>
        </w:numPr>
        <w:pStyle w:val="Compact"/>
      </w:pPr>
      <w:r>
        <w:rPr>
          <w:bCs/>
          <w:b/>
        </w:rPr>
        <w:t xml:space="preserve">Plastic Landfill Emission Factor:</w:t>
      </w:r>
      <w:r>
        <w:t xml:space="preserve"> </w:t>
      </w:r>
      <w:r>
        <w:t xml:space="preserve">0.033 kg CO2e/kg</w:t>
      </w:r>
      <w:r>
        <w:t xml:space="preserve"> </w:t>
      </w:r>
      <w:hyperlink w:anchor="ref-17"/>
    </w:p>
    <w:p>
      <w:pPr>
        <w:numPr>
          <w:ilvl w:val="0"/>
          <w:numId w:val="1002"/>
        </w:numPr>
      </w:pPr>
      <w:r>
        <w:rPr>
          <w:bCs/>
          <w:b/>
        </w:rPr>
        <w:t xml:space="preserve">Calculate Emissions (Activity * Emission Factor = CO2e):</w:t>
      </w:r>
    </w:p>
    <w:p>
      <w:pPr>
        <w:numPr>
          <w:ilvl w:val="0"/>
          <w:numId w:val="1000"/>
        </w:numPr>
      </w:pPr>
      <w:r>
        <w:t xml:space="preserve">Emissions were calculated for each life cycle stage by multiplying activity data (e.g., kg of material, kWh of energy, tkm of transport) by their respective emission factors (CO2e).</w:t>
      </w:r>
    </w:p>
    <w:p>
      <w:pPr>
        <w:numPr>
          <w:ilvl w:val="0"/>
          <w:numId w:val="1002"/>
        </w:numPr>
      </w:pPr>
      <w:r>
        <w:rPr>
          <w:bCs/>
          <w:b/>
        </w:rPr>
        <w:t xml:space="preserve">Review &amp; Report (Hotspots and Reliability):</w:t>
      </w:r>
    </w:p>
    <w:p>
      <w:pPr>
        <w:numPr>
          <w:ilvl w:val="0"/>
          <w:numId w:val="1000"/>
        </w:numPr>
      </w:pPr>
      <w:r>
        <w:t xml:space="preserve">The results were compiled, and hotspots were identified. The reliability is dependent on the quality and specificity of input data; illustrative data carries inherent uncertainties.</w:t>
      </w:r>
    </w:p>
    <w:bookmarkEnd w:id="29"/>
    <w:bookmarkStart w:id="30" w:name="ghg-protocol-adherence"/>
    <w:p>
      <w:pPr>
        <w:pStyle w:val="Heading2"/>
      </w:pPr>
      <w:r>
        <w:t xml:space="preserve">4. GHG Protocol Adherence</w:t>
      </w:r>
    </w:p>
    <w:p>
      <w:pPr>
        <w:pStyle w:val="FirstParagraph"/>
      </w:pPr>
      <w:r>
        <w:t xml:space="preserve">This analysis strictly adheres to the GHG Protocol Product Standard requirements, categorizing emissions across the value chain:</w:t>
      </w:r>
    </w:p>
    <w:p>
      <w:pPr>
        <w:numPr>
          <w:ilvl w:val="0"/>
          <w:numId w:val="1009"/>
        </w:numPr>
        <w:pStyle w:val="Compact"/>
      </w:pPr>
      <w:r>
        <w:rPr>
          <w:bCs/>
          <w:b/>
        </w:rPr>
        <w:t xml:space="preserve">Scope 1 Emissions:</w:t>
      </w:r>
      <w:r>
        <w:t xml:space="preserve"> </w:t>
      </w:r>
      <w:r>
        <w:t xml:space="preserve">Direct GHG emissions from sources owned or controlled by dpyprljqdx (e.g., fuel combustion in owned vehicles/facilities). For this PCF, no direct Scope 1 emissions were explicitly provided or calculated for the product lifecycle, as facility energy is considered purchased.</w:t>
      </w:r>
    </w:p>
    <w:p>
      <w:pPr>
        <w:numPr>
          <w:ilvl w:val="0"/>
          <w:numId w:val="1009"/>
        </w:numPr>
        <w:pStyle w:val="Compact"/>
      </w:pPr>
      <w:r>
        <w:rPr>
          <w:bCs/>
          <w:b/>
        </w:rPr>
        <w:t xml:space="preserve">Scope 2 Emissions:</w:t>
      </w:r>
      <w:r>
        <w:t xml:space="preserve"> </w:t>
      </w:r>
      <w:r>
        <w:t xml:space="preserve">Indirect GHG emissions from the generation of purchased electricity, heat, or steam consumed by dpyprljqdx.</w:t>
      </w:r>
    </w:p>
    <w:p>
      <w:pPr>
        <w:numPr>
          <w:ilvl w:val="0"/>
          <w:numId w:val="1009"/>
        </w:numPr>
        <w:pStyle w:val="Compact"/>
      </w:pPr>
      <w:r>
        <w:rPr>
          <w:bCs/>
          <w:b/>
        </w:rPr>
        <w:t xml:space="preserve">Scope 3 Emissions:</w:t>
      </w:r>
      <w:r>
        <w:t xml:space="preserve"> </w:t>
      </w:r>
      <w:r>
        <w:t xml:space="preserve">All other indirect GHG emissions that occur in the value chain of finznydjof, both upstream and downstream. This analysis aims for at least 95% coverage for Scope 3 reporting, in line with 2026 requirements, by including all material inputs, transportation, use phase, and end-of-life.</w:t>
      </w:r>
    </w:p>
    <w:p>
      <w:pPr>
        <w:numPr>
          <w:ilvl w:val="0"/>
          <w:numId w:val="1009"/>
        </w:numPr>
        <w:pStyle w:val="Compact"/>
      </w:pPr>
      <w:r>
        <w:rPr>
          <w:bCs/>
          <w:b/>
        </w:rPr>
        <w:t xml:space="preserve">2026 LSR Update:</w:t>
      </w:r>
      <w:r>
        <w:t xml:space="preserve"> </w:t>
      </w:r>
      <w:r>
        <w:t xml:space="preserve">The principles of the Land Sector and Removals (LSR) Standard are acknowledged. While specific LSR data for finznydjof was not available in the provided parameters, future analyses should integrate detailed land use and carbon removal impacts for enhanced accuracy.</w:t>
      </w:r>
    </w:p>
    <w:bookmarkEnd w:id="30"/>
    <w:bookmarkStart w:id="33" w:name="emissions-calculation-and-results"/>
    <w:p>
      <w:pPr>
        <w:pStyle w:val="Heading2"/>
      </w:pPr>
      <w:r>
        <w:t xml:space="preserve">5. Emissions Calculation and Results</w:t>
      </w:r>
    </w:p>
    <w:bookmarkStart w:id="31" w:name="X15460422220bdf05a1f5eb9c70107dd4596b692"/>
    <w:p>
      <w:pPr>
        <w:pStyle w:val="Heading3"/>
      </w:pPr>
      <w:r>
        <w:t xml:space="preserve">Product Carbon Footprint Summary for finznydjof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CO2e Emissions (kg)</w:t>
            </w:r>
          </w:p>
        </w:tc>
        <w:tc>
          <w:tcPr/>
          <w:p>
            <w:pPr>
              <w:pStyle w:val="Compact"/>
              <w:jc w:val="left"/>
            </w:pPr>
            <w:r>
              <w:t xml:space="preserve">Contribution (%)</w:t>
            </w:r>
          </w:p>
        </w:tc>
      </w:tr>
      <w:tr>
        <w:tc>
          <w:tcPr/>
          <w:p>
            <w:pPr>
              <w:pStyle w:val="Compact"/>
              <w:jc w:val="left"/>
            </w:pPr>
            <w:r>
              <w:t xml:space="preserve">Material Acquisition &amp; Pre-processing</w:t>
            </w:r>
          </w:p>
        </w:tc>
        <w:tc>
          <w:tcPr/>
          <w:p>
            <w:pPr>
              <w:pStyle w:val="Compact"/>
              <w:jc w:val="left"/>
            </w:pPr>
            <w:r>
              <w:t xml:space="preserve">Scope 3 (Purchased Goods &amp; Services)</w:t>
            </w:r>
          </w:p>
        </w:tc>
        <w:tc>
          <w:tcPr/>
          <w:p>
            <w:pPr>
              <w:pStyle w:val="Compact"/>
              <w:jc w:val="left"/>
            </w:pPr>
            <w:r>
              <w:t xml:space="preserve">21.409</w:t>
            </w:r>
          </w:p>
        </w:tc>
        <w:tc>
          <w:tcPr/>
          <w:p>
            <w:pPr>
              <w:pStyle w:val="Compact"/>
              <w:jc w:val="left"/>
            </w:pPr>
            <w:r>
              <w:t xml:space="preserve">48.35%</w:t>
            </w:r>
          </w:p>
        </w:tc>
      </w:tr>
      <w:tr>
        <w:tc>
          <w:tcPr/>
          <w:p>
            <w:pPr>
              <w:pStyle w:val="Compact"/>
              <w:jc w:val="left"/>
            </w:pPr>
            <w:r>
              <w:t xml:space="preserve">Manufacturing (Production Energy)</w:t>
            </w:r>
          </w:p>
        </w:tc>
        <w:tc>
          <w:tcPr/>
          <w:p>
            <w:pPr>
              <w:pStyle w:val="Compact"/>
              <w:jc w:val="left"/>
            </w:pPr>
            <w:r>
              <w:t xml:space="preserve">Scope 2 (Purchased Electricity)</w:t>
            </w:r>
          </w:p>
        </w:tc>
        <w:tc>
          <w:tcPr/>
          <w:p>
            <w:pPr>
              <w:pStyle w:val="Compact"/>
              <w:jc w:val="left"/>
            </w:pPr>
            <w:r>
              <w:t xml:space="preserve">10.859</w:t>
            </w:r>
          </w:p>
        </w:tc>
        <w:tc>
          <w:tcPr/>
          <w:p>
            <w:pPr>
              <w:pStyle w:val="Compact"/>
              <w:jc w:val="left"/>
            </w:pPr>
            <w:r>
              <w:t xml:space="preserve">24.52%</w:t>
            </w:r>
          </w:p>
        </w:tc>
      </w:tr>
      <w:tr>
        <w:tc>
          <w:tcPr/>
          <w:p>
            <w:pPr>
              <w:pStyle w:val="Compact"/>
              <w:jc w:val="left"/>
            </w:pPr>
            <w:r>
              <w:t xml:space="preserve">Upstream Transportation (Materials to Factory)</w:t>
            </w:r>
          </w:p>
        </w:tc>
        <w:tc>
          <w:tcPr/>
          <w:p>
            <w:pPr>
              <w:pStyle w:val="Compact"/>
              <w:jc w:val="left"/>
            </w:pPr>
            <w:r>
              <w:t xml:space="preserve">Scope 3 (Upstream T&amp;D)</w:t>
            </w:r>
          </w:p>
        </w:tc>
        <w:tc>
          <w:tcPr/>
          <w:p>
            <w:pPr>
              <w:pStyle w:val="Compact"/>
              <w:jc w:val="left"/>
            </w:pPr>
            <w:r>
              <w:t xml:space="preserve">0.389</w:t>
            </w:r>
          </w:p>
        </w:tc>
        <w:tc>
          <w:tcPr/>
          <w:p>
            <w:pPr>
              <w:pStyle w:val="Compact"/>
              <w:jc w:val="left"/>
            </w:pPr>
            <w:r>
              <w:t xml:space="preserve">0.88%</w:t>
            </w:r>
          </w:p>
        </w:tc>
      </w:tr>
      <w:tr>
        <w:tc>
          <w:tcPr/>
          <w:p>
            <w:pPr>
              <w:pStyle w:val="Compact"/>
              <w:jc w:val="left"/>
            </w:pPr>
            <w:r>
              <w:t xml:space="preserve">Downstream Transportation (Factory to Customer, incl. Last-Mile)</w:t>
            </w:r>
          </w:p>
        </w:tc>
        <w:tc>
          <w:tcPr/>
          <w:p>
            <w:pPr>
              <w:pStyle w:val="Compact"/>
              <w:jc w:val="left"/>
            </w:pPr>
            <w:r>
              <w:t xml:space="preserve">Scope 3 (Downstream T&amp;D)</w:t>
            </w:r>
          </w:p>
        </w:tc>
        <w:tc>
          <w:tcPr/>
          <w:p>
            <w:pPr>
              <w:pStyle w:val="Compact"/>
              <w:jc w:val="left"/>
            </w:pPr>
            <w:r>
              <w:t xml:space="preserve">0.021</w:t>
            </w:r>
          </w:p>
        </w:tc>
        <w:tc>
          <w:tcPr/>
          <w:p>
            <w:pPr>
              <w:pStyle w:val="Compact"/>
              <w:jc w:val="left"/>
            </w:pPr>
            <w:r>
              <w:t xml:space="preserve">0.05%</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11.300</w:t>
            </w:r>
          </w:p>
        </w:tc>
        <w:tc>
          <w:tcPr/>
          <w:p>
            <w:pPr>
              <w:pStyle w:val="Compact"/>
              <w:jc w:val="left"/>
            </w:pPr>
            <w:r>
              <w:t xml:space="preserve">25.52%</w:t>
            </w:r>
          </w:p>
        </w:tc>
      </w:tr>
      <w:tr>
        <w:tc>
          <w:tcPr/>
          <w:p>
            <w:pPr>
              <w:pStyle w:val="Compact"/>
              <w:jc w:val="left"/>
            </w:pPr>
            <w:r>
              <w:t xml:space="preserve">End-of-Life Treatment</w:t>
            </w:r>
          </w:p>
        </w:tc>
        <w:tc>
          <w:tcPr/>
          <w:p>
            <w:pPr>
              <w:pStyle w:val="Compact"/>
              <w:jc w:val="left"/>
            </w:pPr>
            <w:r>
              <w:t xml:space="preserve">Scope 3 (EoL of Sold Products)</w:t>
            </w:r>
          </w:p>
        </w:tc>
        <w:tc>
          <w:tcPr/>
          <w:p>
            <w:pPr>
              <w:pStyle w:val="Compact"/>
              <w:jc w:val="left"/>
            </w:pPr>
            <w:r>
              <w:t xml:space="preserve">0.300</w:t>
            </w:r>
          </w:p>
        </w:tc>
        <w:tc>
          <w:tcPr/>
          <w:p>
            <w:pPr>
              <w:pStyle w:val="Compact"/>
              <w:jc w:val="left"/>
            </w:pPr>
            <w:r>
              <w:t xml:space="preserve">0.68%</w:t>
            </w:r>
          </w:p>
        </w:tc>
      </w:tr>
      <w:tr>
        <w:tc>
          <w:tcPr>
            <w:gridSpan w:val="2"/>
          </w:tcPr>
          <w:p>
            <w:pPr>
              <w:pStyle w:val="Compact"/>
              <w:jc w:val="left"/>
            </w:pPr>
            <w:r>
              <w:rPr>
                <w:bCs/>
                <w:b/>
              </w:rPr>
              <w:t xml:space="preserve">Total Product Carbon Footprint</w:t>
            </w:r>
          </w:p>
        </w:tc>
        <w:tc>
          <w:tcPr/>
          <w:p>
            <w:pPr>
              <w:pStyle w:val="Compact"/>
              <w:jc w:val="left"/>
            </w:pPr>
            <w:r>
              <w:rPr>
                <w:bCs/>
                <w:b/>
              </w:rPr>
              <w:t xml:space="preserve">44.278</w:t>
            </w:r>
          </w:p>
        </w:tc>
        <w:tc>
          <w:tcPr/>
          <w:p>
            <w:pPr>
              <w:pStyle w:val="Compact"/>
              <w:jc w:val="left"/>
            </w:pPr>
            <w:r>
              <w:rPr>
                <w:bCs/>
                <w:b/>
              </w:rPr>
              <w:t xml:space="preserve">100.00%</w:t>
            </w:r>
          </w:p>
        </w:tc>
      </w:tr>
    </w:tbl>
    <w:bookmarkEnd w:id="31"/>
    <w:bookmarkStart w:id="32" w:name="detailed-scope-wise-breakdown"/>
    <w:p>
      <w:pPr>
        <w:pStyle w:val="Heading3"/>
      </w:pPr>
      <w:r>
        <w:t xml:space="preserve">Detailed Scope-wise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CO2e Emissions (kg)</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GHG Emissions from Purchased Electricity (Production)</w:t>
            </w:r>
          </w:p>
        </w:tc>
        <w:tc>
          <w:tcPr/>
          <w:p>
            <w:pPr>
              <w:pStyle w:val="Compact"/>
              <w:jc w:val="left"/>
            </w:pPr>
            <w:r>
              <w:t xml:space="preserve">10.859</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21.409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0.389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0.021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11.300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0.300</w:t>
            </w:r>
          </w:p>
        </w:tc>
      </w:tr>
      <w:tr>
        <w:tc>
          <w:tcPr>
            <w:gridSpan w:val="2"/>
          </w:tcPr>
          <w:p>
            <w:pPr>
              <w:pStyle w:val="Compact"/>
              <w:jc w:val="left"/>
            </w:pPr>
            <w:r>
              <w:rPr>
                <w:bCs/>
                <w:b/>
              </w:rPr>
              <w:t xml:space="preserve">Total Scope 3 Emissions</w:t>
            </w:r>
          </w:p>
        </w:tc>
        <w:tc>
          <w:tcPr/>
          <w:p>
            <w:pPr>
              <w:pStyle w:val="Compact"/>
              <w:jc w:val="left"/>
            </w:pPr>
            <w:r>
              <w:rPr>
                <w:bCs/>
                <w:b/>
              </w:rPr>
              <w:t xml:space="preserve">33.919</w:t>
            </w:r>
          </w:p>
        </w:tc>
      </w:tr>
      <w:tr>
        <w:tc>
          <w:tcPr>
            <w:gridSpan w:val="2"/>
          </w:tcPr>
          <w:p>
            <w:pPr>
              <w:pStyle w:val="Compact"/>
              <w:jc w:val="left"/>
            </w:pPr>
            <w:r>
              <w:rPr>
                <w:bCs/>
                <w:b/>
              </w:rPr>
              <w:t xml:space="preserve">Grand Total PCF (Scope 1 + Scope 2 + Scope 3)</w:t>
            </w:r>
          </w:p>
        </w:tc>
        <w:tc>
          <w:tcPr/>
          <w:p>
            <w:pPr>
              <w:pStyle w:val="Compact"/>
              <w:jc w:val="left"/>
            </w:pPr>
            <w:r>
              <w:rPr>
                <w:bCs/>
                <w:b/>
              </w:rPr>
              <w:t xml:space="preserve">44.278</w:t>
            </w:r>
          </w:p>
        </w:tc>
      </w:tr>
    </w:tbl>
    <w:p>
      <w:r>
        <w:pict>
          <v:rect style="width:0;height:1.5pt" o:hralign="center" o:hrstd="t" o:hr="t"/>
        </w:pict>
      </w:r>
    </w:p>
    <w:bookmarkEnd w:id="32"/>
    <w:bookmarkEnd w:id="33"/>
    <w:bookmarkStart w:id="34" w:name="discussion-and-hotspots"/>
    <w:p>
      <w:pPr>
        <w:pStyle w:val="Heading2"/>
      </w:pPr>
      <w:r>
        <w:t xml:space="preserve">6. Discussion and Hotspots</w:t>
      </w:r>
    </w:p>
    <w:p>
      <w:pPr>
        <w:pStyle w:val="FirstParagraph"/>
      </w:pPr>
      <w:r>
        <w:t xml:space="preserve">The analysis reveals the following key insights into the carbon footprint of finznydjof:</w:t>
      </w:r>
    </w:p>
    <w:p>
      <w:pPr>
        <w:numPr>
          <w:ilvl w:val="0"/>
          <w:numId w:val="1010"/>
        </w:numPr>
        <w:pStyle w:val="Compact"/>
      </w:pPr>
      <w:r>
        <w:rPr>
          <w:bCs/>
          <w:b/>
        </w:rPr>
        <w:t xml:space="preserve">Material Acquisition (48.35%):</w:t>
      </w:r>
      <w:r>
        <w:t xml:space="preserve"> </w:t>
      </w:r>
      <w:r>
        <w:t xml:space="preserve">The largest contributor to the PCF is the material acquisition and pre-processing stage. This is primarily driven by the high embedded emissions of primary aluminum and other constituent materials as detailed in the BOM. Optimizing material selection, increasing recycled content, and sourcing from suppliers with lower carbon footprints are crucial areas for reduction.</w:t>
      </w:r>
    </w:p>
    <w:p>
      <w:pPr>
        <w:numPr>
          <w:ilvl w:val="0"/>
          <w:numId w:val="1010"/>
        </w:numPr>
        <w:pStyle w:val="Compact"/>
      </w:pPr>
      <w:r>
        <w:rPr>
          <w:bCs/>
          <w:b/>
        </w:rPr>
        <w:t xml:space="preserve">Use Phase (25.52%):</w:t>
      </w:r>
      <w:r>
        <w:t xml:space="preserve"> </w:t>
      </w:r>
      <w:r>
        <w:t xml:space="preserve">Energy consumption during the product\'s 5-year lifespan contributes significantly to the overall footprint. Strategies to reduce this impact include designing more energy-efficient products, providing clear guidance for low-carbon usage, and exploring opportunities for renewable energy integration at the user\'s end.</w:t>
      </w:r>
    </w:p>
    <w:p>
      <w:pPr>
        <w:numPr>
          <w:ilvl w:val="0"/>
          <w:numId w:val="1010"/>
        </w:numPr>
        <w:pStyle w:val="Compact"/>
      </w:pPr>
      <w:r>
        <w:rPr>
          <w:bCs/>
          <w:b/>
        </w:rPr>
        <w:t xml:space="preserve">Manufacturing (24.52%):</w:t>
      </w:r>
      <w:r>
        <w:t xml:space="preserve"> </w:t>
      </w:r>
      <w:r>
        <w:t xml:space="preserve">The energy consumed during the production process in China accounts for a substantial portion of Scope 2 emissions. Increasing the renewable energy usage beyond the current 30% (rsyhhogepx) and improving energy efficiency at the facility in China would directly reduce this impact.</w:t>
      </w:r>
    </w:p>
    <w:p>
      <w:pPr>
        <w:numPr>
          <w:ilvl w:val="0"/>
          <w:numId w:val="1010"/>
        </w:numPr>
        <w:pStyle w:val="Compact"/>
      </w:pPr>
      <w:r>
        <w:rPr>
          <w:bCs/>
          <w:b/>
        </w:rPr>
        <w:t xml:space="preserve">Transportation (1.07% total):</w:t>
      </w:r>
      <w:r>
        <w:t xml:space="preserve"> </w:t>
      </w:r>
      <w:r>
        <w:t xml:space="preserve">While essential, both upstream and downstream transportation combined represent a smaller percentage of the total PCF. The long-distance ocean freight is a significant factor within this category. Optimizing logistics, selecting lower-emission transport modes where feasible, and consolidating shipments can further reduce these emissions.</w:t>
      </w:r>
    </w:p>
    <w:p>
      <w:pPr>
        <w:numPr>
          <w:ilvl w:val="0"/>
          <w:numId w:val="1010"/>
        </w:numPr>
        <w:pStyle w:val="Compact"/>
      </w:pPr>
      <w:r>
        <w:rPr>
          <w:bCs/>
          <w:b/>
        </w:rPr>
        <w:t xml:space="preserve">End-of-Life Treatment (0.68%):</w:t>
      </w:r>
      <w:r>
        <w:t xml:space="preserve"> </w:t>
      </w:r>
      <w:r>
        <w:t xml:space="preserve">Despite a 70% recyclability percentage (lmfjzlrjvd) and established circular programs (gwouytqtuy), the end-of-life stage still contributes to emissions. Enhancing recycling efficiency, exploring innovative circular economy models to maximize material recovery, and minimizing landfill dependence are important.</w:t>
      </w:r>
    </w:p>
    <w:bookmarkEnd w:id="34"/>
    <w:bookmarkStart w:id="36" w:name="recommendations"/>
    <w:p>
      <w:pPr>
        <w:pStyle w:val="Heading2"/>
      </w:pPr>
      <w:r>
        <w:t xml:space="preserve">7. Recommendations</w:t>
      </w:r>
    </w:p>
    <w:p>
      <w:pPr>
        <w:pStyle w:val="FirstParagraph"/>
      </w:pPr>
      <w:r>
        <w:t xml:space="preserve">Based on this PCF analysis, dpyprljqdx should consider the following recommendations to reduce the environmental impact of finznydjof:</w:t>
      </w:r>
    </w:p>
    <w:p>
      <w:pPr>
        <w:numPr>
          <w:ilvl w:val="0"/>
          <w:numId w:val="1011"/>
        </w:numPr>
        <w:pStyle w:val="Compact"/>
      </w:pPr>
      <w:r>
        <w:rPr>
          <w:bCs/>
          <w:b/>
        </w:rPr>
        <w:t xml:space="preserve">Material Optimization:</w:t>
      </w:r>
    </w:p>
    <w:p>
      <w:pPr>
        <w:numPr>
          <w:ilvl w:val="1"/>
          <w:numId w:val="1012"/>
        </w:numPr>
        <w:pStyle w:val="Compact"/>
      </w:pPr>
      <w:r>
        <w:t xml:space="preserve">Investigate alternative materials with lower embedded carbon or higher recycled content for components like the aluminum casing and plastic enclosure.</w:t>
      </w:r>
    </w:p>
    <w:p>
      <w:pPr>
        <w:numPr>
          <w:ilvl w:val="1"/>
          <w:numId w:val="1012"/>
        </w:numPr>
        <w:pStyle w:val="Compact"/>
      </w:pPr>
      <w:r>
        <w:t xml:space="preserve">Collaborate with suppliers to understand and reduce the cradle-to-gate emissions of purchased goods.</w:t>
      </w:r>
    </w:p>
    <w:p>
      <w:pPr>
        <w:numPr>
          <w:ilvl w:val="0"/>
          <w:numId w:val="1011"/>
        </w:numPr>
        <w:pStyle w:val="Compact"/>
      </w:pPr>
      <w:r>
        <w:rPr>
          <w:bCs/>
          <w:b/>
        </w:rPr>
        <w:t xml:space="preserve">Energy Efficiency in Manufacturing:</w:t>
      </w:r>
    </w:p>
    <w:p>
      <w:pPr>
        <w:numPr>
          <w:ilvl w:val="1"/>
          <w:numId w:val="1013"/>
        </w:numPr>
        <w:pStyle w:val="Compact"/>
      </w:pPr>
      <w:r>
        <w:t xml:space="preserve">Increase the percentage of renewable energy sourced for the production facility in China (beyond rsyhhogepx).</w:t>
      </w:r>
    </w:p>
    <w:p>
      <w:pPr>
        <w:numPr>
          <w:ilvl w:val="1"/>
          <w:numId w:val="1013"/>
        </w:numPr>
        <w:pStyle w:val="Compact"/>
      </w:pPr>
      <w:r>
        <w:t xml:space="preserve">Implement energy-saving measures and process optimizations to lower the energy intensity (oqpnyoydtj) per unit.</w:t>
      </w:r>
    </w:p>
    <w:p>
      <w:pPr>
        <w:numPr>
          <w:ilvl w:val="0"/>
          <w:numId w:val="1011"/>
        </w:numPr>
        <w:pStyle w:val="Compact"/>
      </w:pPr>
      <w:r>
        <w:rPr>
          <w:bCs/>
          <w:b/>
        </w:rPr>
        <w:t xml:space="preserve">Use Phase Decarbonization:</w:t>
      </w:r>
    </w:p>
    <w:p>
      <w:pPr>
        <w:numPr>
          <w:ilvl w:val="1"/>
          <w:numId w:val="1014"/>
        </w:numPr>
        <w:pStyle w:val="Compact"/>
      </w:pPr>
      <w:r>
        <w:t xml:space="preserve">Explore design modifications to reduce the product\'s energy consumption during use (kmhhnzpswe).</w:t>
      </w:r>
    </w:p>
    <w:p>
      <w:pPr>
        <w:numPr>
          <w:ilvl w:val="1"/>
          <w:numId w:val="1014"/>
        </w:numPr>
        <w:pStyle w:val="Compact"/>
      </w:pPr>
      <w:r>
        <w:t xml:space="preserve">Educate consumers on energy-efficient usage patterns and promote the use of renewable energy where the product is operated.</w:t>
      </w:r>
    </w:p>
    <w:p>
      <w:pPr>
        <w:numPr>
          <w:ilvl w:val="0"/>
          <w:numId w:val="1011"/>
        </w:numPr>
        <w:pStyle w:val="Compact"/>
      </w:pPr>
      <w:r>
        <w:rPr>
          <w:bCs/>
          <w:b/>
        </w:rPr>
        <w:t xml:space="preserve">Supply Chain Logistics:</w:t>
      </w:r>
    </w:p>
    <w:p>
      <w:pPr>
        <w:numPr>
          <w:ilvl w:val="1"/>
          <w:numId w:val="1015"/>
        </w:numPr>
        <w:pStyle w:val="Compact"/>
      </w:pPr>
      <w:r>
        <w:t xml:space="preserve">Continuously evaluate transport modes and routes to minimize emissions, potentially shifting more volume to rail or lower-emission sea freight options where appropriate.</w:t>
      </w:r>
    </w:p>
    <w:p>
      <w:pPr>
        <w:numPr>
          <w:ilvl w:val="1"/>
          <w:numId w:val="1015"/>
        </w:numPr>
        <w:pStyle w:val="Compact"/>
      </w:pPr>
      <w:r>
        <w:t xml:space="preserve">Optimize loading factors and reduce empty runs for road transportation.</w:t>
      </w:r>
    </w:p>
    <w:p>
      <w:pPr>
        <w:numPr>
          <w:ilvl w:val="0"/>
          <w:numId w:val="1011"/>
        </w:numPr>
        <w:pStyle w:val="Compact"/>
      </w:pPr>
      <w:r>
        <w:rPr>
          <w:bCs/>
          <w:b/>
        </w:rPr>
        <w:t xml:space="preserve">Circular Economy Integration:</w:t>
      </w:r>
    </w:p>
    <w:p>
      <w:pPr>
        <w:numPr>
          <w:ilvl w:val="1"/>
          <w:numId w:val="1016"/>
        </w:numPr>
        <w:pStyle w:val="Compact"/>
      </w:pPr>
      <w:r>
        <w:t xml:space="preserve">Further enhance existing circular/take-back programs (gwouytqtuy) to maximize material recovery and explore closed-loop recycling systems.</w:t>
      </w:r>
    </w:p>
    <w:p>
      <w:pPr>
        <w:numPr>
          <w:ilvl w:val="1"/>
          <w:numId w:val="1016"/>
        </w:numPr>
        <w:pStyle w:val="Compact"/>
      </w:pPr>
      <w:r>
        <w:t xml:space="preserve">Increase the recyclability percentage (lmfjzlrjvd) and design for disassembly to facilitate easier end-of-life processing.</w:t>
      </w:r>
    </w:p>
    <w:p>
      <w:r>
        <w:pict>
          <v:rect style="width:0;height:1.5pt" o:hralign="center" o:hrstd="t" o:hr="t"/>
        </w:pict>
      </w:r>
    </w:p>
    <w:p>
      <w:pPr>
        <w:pStyle w:val="FirstParagraph"/>
      </w:pPr>
      <w:r>
        <w:t xml:space="preserve">Confidential - Internal Use Only</w:t>
      </w:r>
    </w:p>
    <w:p>
      <w:pPr>
        <w:pStyle w:val="BodyText"/>
      </w:pPr>
      <w:r>
        <w:t xml:space="preserve">Report Version: 1.0</w:t>
      </w:r>
    </w:p>
    <w:bookmarkStart w:id="35" w:name="references"/>
    <w:bookmarkEnd w:id="35"/>
    <w:bookmarkEnd w:id="36"/>
    <w:bookmarkStart w:id="85" w:name="references"/>
    <w:p>
      <w:pPr>
        <w:pStyle w:val="Heading2"/>
      </w:pPr>
      <w:r>
        <w:t xml:space="preserve">References</w:t>
      </w:r>
    </w:p>
    <w:p>
      <w:pPr>
        <w:pStyle w:val="FirstParagraph"/>
      </w:pPr>
      <w:r>
        <w:t xml:space="preserve">This report utilized emission factors and data from various publicly available sources and databases:</w:t>
      </w:r>
    </w:p>
    <w:p>
      <w:pPr>
        <w:numPr>
          <w:ilvl w:val="0"/>
          <w:numId w:val="1017"/>
        </w:numPr>
        <w:pStyle w:val="Compact"/>
      </w:pPr>
      <w:bookmarkStart w:id="37" w:name="ref-1"/>
      <w:r>
        <w:t xml:space="preserve">Train Carbon Emissions: Complete Guide to Railway Environmental Impact. (2025, November 30).</w:t>
      </w:r>
      <w:bookmarkEnd w:id="37"/>
    </w:p>
    <w:p>
      <w:pPr>
        <w:numPr>
          <w:ilvl w:val="0"/>
          <w:numId w:val="1017"/>
        </w:numPr>
        <w:pStyle w:val="Compact"/>
      </w:pPr>
      <w:bookmarkStart w:id="38" w:name="ref-2"/>
      <w:r>
        <w:t xml:space="preserve">Carbon Footprint of Steel Per kg &amp; lb (Calculator &amp; Full List of Steel Items) - 8 Billion Trees. (2024, October 03).</w:t>
      </w:r>
      <w:bookmarkEnd w:id="38"/>
    </w:p>
    <w:p>
      <w:pPr>
        <w:numPr>
          <w:ilvl w:val="0"/>
          <w:numId w:val="1017"/>
        </w:numPr>
        <w:pStyle w:val="Compact"/>
      </w:pPr>
      <w:bookmarkStart w:id="39" w:name="ref-3"/>
      <w:r>
        <w:t xml:space="preserve">DEFRA | Container ship | 2023 Emission Factor - Breeze. (2023, June 28).</w:t>
      </w:r>
      <w:bookmarkEnd w:id="39"/>
    </w:p>
    <w:p>
      <w:pPr>
        <w:numPr>
          <w:ilvl w:val="0"/>
          <w:numId w:val="1017"/>
        </w:numPr>
        <w:pStyle w:val="Compact"/>
      </w:pPr>
      <w:bookmarkStart w:id="40" w:name="ref-4"/>
      <w:r>
        <w:t xml:space="preserve">Aluminium, primary production - Carbon Footprint Platform – OpenCO2.net. (2025, September 30).</w:t>
      </w:r>
      <w:bookmarkEnd w:id="40"/>
    </w:p>
    <w:p>
      <w:pPr>
        <w:numPr>
          <w:ilvl w:val="0"/>
          <w:numId w:val="1017"/>
        </w:numPr>
        <w:pStyle w:val="Compact"/>
      </w:pPr>
      <w:bookmarkStart w:id="41" w:name="ref-5"/>
      <w:r>
        <w:t xml:space="preserve">Emission Factor: Bare printed circuit board manufacturing | Equipment | Electronics | United States of America (the) | Climatiq.</w:t>
      </w:r>
      <w:bookmarkEnd w:id="41"/>
    </w:p>
    <w:p>
      <w:pPr>
        <w:numPr>
          <w:ilvl w:val="0"/>
          <w:numId w:val="1017"/>
        </w:numPr>
        <w:pStyle w:val="Compact"/>
      </w:pPr>
      <w:bookmarkStart w:id="42" w:name="ref-6"/>
      <w:r>
        <w:t xml:space="preserve">Air-Sea Freight CO2 Emissions Calculator: Comparing Carbon Footprints. (2026, April 23).</w:t>
      </w:r>
      <w:bookmarkEnd w:id="42"/>
    </w:p>
    <w:p>
      <w:pPr>
        <w:numPr>
          <w:ilvl w:val="0"/>
          <w:numId w:val="1017"/>
        </w:numPr>
        <w:pStyle w:val="Compact"/>
      </w:pPr>
      <w:bookmarkStart w:id="43" w:name="ref-7"/>
      <w:r>
        <w:t xml:space="preserve">Emission Factor: PP (polypropylene) | Materials and Manufacturing | Plastics and Rubber Products | Germany | Climatiq.</w:t>
      </w:r>
      <w:bookmarkEnd w:id="43"/>
    </w:p>
    <w:p>
      <w:pPr>
        <w:numPr>
          <w:ilvl w:val="0"/>
          <w:numId w:val="1017"/>
        </w:numPr>
        <w:pStyle w:val="Compact"/>
      </w:pPr>
      <w:bookmarkStart w:id="44" w:name="ref-8"/>
      <w:r>
        <w:t xml:space="preserve">China Electricity Carbon Footprint &amp; Environmental Impact - Consumer Ecology.</w:t>
      </w:r>
      <w:bookmarkEnd w:id="44"/>
    </w:p>
    <w:p>
      <w:pPr>
        <w:numPr>
          <w:ilvl w:val="0"/>
          <w:numId w:val="1017"/>
        </w:numPr>
        <w:pStyle w:val="Compact"/>
      </w:pPr>
      <w:bookmarkStart w:id="45" w:name="ref-9"/>
      <w:r>
        <w:t xml:space="preserve">China\'s Electricity Carbon Footprint Factors and China Automotive Life Cycle Database (CALCD) - UNECE Wiki.</w:t>
      </w:r>
      <w:bookmarkEnd w:id="45"/>
    </w:p>
    <w:p>
      <w:pPr>
        <w:numPr>
          <w:ilvl w:val="0"/>
          <w:numId w:val="1017"/>
        </w:numPr>
        <w:pStyle w:val="Compact"/>
      </w:pPr>
      <w:bookmarkStart w:id="46" w:name="ref-10"/>
      <w:r>
        <w:t xml:space="preserve">Emission Factor: Rail freight train | Transport - Climatiq.</w:t>
      </w:r>
      <w:bookmarkEnd w:id="46"/>
    </w:p>
    <w:p>
      <w:pPr>
        <w:numPr>
          <w:ilvl w:val="0"/>
          <w:numId w:val="1017"/>
        </w:numPr>
        <w:pStyle w:val="Compact"/>
      </w:pPr>
      <w:bookmarkStart w:id="47" w:name="ref-11"/>
      <w:r>
        <w:t xml:space="preserve">Emission Factor: Electricity supplied from grid | Energy | Electricity | China - Climatiq.</w:t>
      </w:r>
      <w:bookmarkEnd w:id="47"/>
    </w:p>
    <w:p>
      <w:pPr>
        <w:numPr>
          <w:ilvl w:val="0"/>
          <w:numId w:val="1017"/>
        </w:numPr>
        <w:pStyle w:val="Compact"/>
      </w:pPr>
      <w:bookmarkStart w:id="48" w:name="ref-12"/>
      <w:r>
        <w:t xml:space="preserve">Emission Factor: Aluminum production | Materials and Manufacturing | Metals - Climatiq.</w:t>
      </w:r>
      <w:bookmarkEnd w:id="48"/>
    </w:p>
    <w:p>
      <w:pPr>
        <w:numPr>
          <w:ilvl w:val="0"/>
          <w:numId w:val="1017"/>
        </w:numPr>
        <w:pStyle w:val="Compact"/>
      </w:pPr>
      <w:bookmarkStart w:id="49" w:name="ref-13"/>
      <w:r>
        <w:t xml:space="preserve">Emission Factor: Container ship (average) | Transport | Sea Freight - Climatiq.</w:t>
      </w:r>
      <w:bookmarkEnd w:id="49"/>
    </w:p>
    <w:p>
      <w:pPr>
        <w:numPr>
          <w:ilvl w:val="0"/>
          <w:numId w:val="1017"/>
        </w:numPr>
        <w:pStyle w:val="Compact"/>
      </w:pPr>
      <w:bookmarkStart w:id="50" w:name="ref-14"/>
      <w:r>
        <w:t xml:space="preserve">8 Freight transport emission factors.</w:t>
      </w:r>
      <w:bookmarkEnd w:id="50"/>
    </w:p>
    <w:p>
      <w:pPr>
        <w:numPr>
          <w:ilvl w:val="0"/>
          <w:numId w:val="1017"/>
        </w:numPr>
        <w:pStyle w:val="Compact"/>
      </w:pPr>
      <w:bookmarkStart w:id="51" w:name="ref-15"/>
      <w:r>
        <w:t xml:space="preserve">Emissions from Freight Transport | Gold Standard for the Global Goals. (2025, May 09).</w:t>
      </w:r>
      <w:bookmarkEnd w:id="51"/>
    </w:p>
    <w:p>
      <w:pPr>
        <w:numPr>
          <w:ilvl w:val="0"/>
          <w:numId w:val="1017"/>
        </w:numPr>
        <w:pStyle w:val="Compact"/>
      </w:pPr>
      <w:bookmarkStart w:id="52" w:name="ref-16"/>
      <w:r>
        <w:t xml:space="preserve">Emission Factor: Steel production | Materials and Manufacturing | Metals - Climatiq.</w:t>
      </w:r>
      <w:bookmarkEnd w:id="52"/>
    </w:p>
    <w:p>
      <w:pPr>
        <w:numPr>
          <w:ilvl w:val="0"/>
          <w:numId w:val="1017"/>
        </w:numPr>
        <w:pStyle w:val="Compact"/>
      </w:pPr>
      <w:bookmarkStart w:id="53" w:name="ref-17"/>
      <w:r>
        <w:t xml:space="preserve">Behind the Numbers: Understanding Emission Factors &amp; Plastic Waste - Terrascope. (2024, January 10).</w:t>
      </w:r>
      <w:bookmarkEnd w:id="53"/>
    </w:p>
    <w:p>
      <w:pPr>
        <w:numPr>
          <w:ilvl w:val="0"/>
          <w:numId w:val="1017"/>
        </w:numPr>
        <w:pStyle w:val="Compact"/>
      </w:pPr>
      <w:bookmarkStart w:id="54" w:name="ref-18"/>
      <w:r>
        <w:t xml:space="preserve">Decarbonizing China\'s grid: provincial grid carbon footprint factors and export-embedded electricity emissions from 2020 to 2060 - OAE Publishing Inc. (2025, October 30).</w:t>
      </w:r>
      <w:bookmarkEnd w:id="54"/>
    </w:p>
    <w:p>
      <w:pPr>
        <w:numPr>
          <w:ilvl w:val="0"/>
          <w:numId w:val="1017"/>
        </w:numPr>
        <w:pStyle w:val="Compact"/>
      </w:pPr>
      <w:bookmarkStart w:id="55" w:name="ref-19"/>
      <w:r>
        <w:t xml:space="preserve">The CO2 footprint shows that: Rail is and will remain more environmentally friendly than road - Wascosa AG.</w:t>
      </w:r>
      <w:bookmarkEnd w:id="55"/>
    </w:p>
    <w:p>
      <w:pPr>
        <w:numPr>
          <w:ilvl w:val="0"/>
          <w:numId w:val="1017"/>
        </w:numPr>
        <w:pStyle w:val="Compact"/>
      </w:pPr>
      <w:bookmarkStart w:id="56" w:name="ref-20"/>
      <w:r>
        <w:t xml:space="preserve">How Much CO2 Is Saved When an Aluminum Automobile Frame Is Used Instead of a Steel One? - sustamize.</w:t>
      </w:r>
      <w:bookmarkEnd w:id="56"/>
    </w:p>
    <w:p>
      <w:pPr>
        <w:numPr>
          <w:ilvl w:val="0"/>
          <w:numId w:val="1017"/>
        </w:numPr>
        <w:pStyle w:val="Compact"/>
      </w:pPr>
      <w:bookmarkStart w:id="57" w:name="ref-21"/>
      <w:r>
        <w:t xml:space="preserve">Freight | Road/Truck Carbon Footprint | 0.21kg CO2e - CO2 Everything.</w:t>
      </w:r>
      <w:bookmarkEnd w:id="57"/>
    </w:p>
    <w:p>
      <w:pPr>
        <w:numPr>
          <w:ilvl w:val="0"/>
          <w:numId w:val="1017"/>
        </w:numPr>
        <w:pStyle w:val="Compact"/>
      </w:pPr>
      <w:bookmarkStart w:id="58" w:name="ref-22"/>
      <w:r>
        <w:t xml:space="preserve">Emission Factor: Road freight medium and heavy duty truck | Transport - Climatiq.</w:t>
      </w:r>
      <w:bookmarkEnd w:id="58"/>
    </w:p>
    <w:p>
      <w:pPr>
        <w:numPr>
          <w:ilvl w:val="0"/>
          <w:numId w:val="1017"/>
        </w:numPr>
        <w:pStyle w:val="Compact"/>
      </w:pPr>
      <w:bookmarkStart w:id="59" w:name="ref-23"/>
      <w:r>
        <w:t xml:space="preserve">China Default GHG Emission Values V1.0– Complementing GLEC Framework v3.0 - AWS.</w:t>
      </w:r>
      <w:bookmarkEnd w:id="59"/>
    </w:p>
    <w:p>
      <w:pPr>
        <w:numPr>
          <w:ilvl w:val="0"/>
          <w:numId w:val="1017"/>
        </w:numPr>
        <w:pStyle w:val="Compact"/>
      </w:pPr>
      <w:bookmarkStart w:id="60" w:name="ref-24"/>
      <w:r>
        <w:t xml:space="preserve">Plastics waste disposal (landfill) - Emission Factor - Climatiq.</w:t>
      </w:r>
      <w:bookmarkEnd w:id="60"/>
    </w:p>
    <w:p>
      <w:pPr>
        <w:numPr>
          <w:ilvl w:val="0"/>
          <w:numId w:val="1017"/>
        </w:numPr>
        <w:pStyle w:val="Compact"/>
      </w:pPr>
      <w:bookmarkStart w:id="61" w:name="ref-25"/>
      <w:r>
        <w:t xml:space="preserve">A low carbon footprint - European Aluminium.</w:t>
      </w:r>
      <w:bookmarkEnd w:id="61"/>
    </w:p>
    <w:p>
      <w:pPr>
        <w:numPr>
          <w:ilvl w:val="0"/>
          <w:numId w:val="1017"/>
        </w:numPr>
        <w:pStyle w:val="Compact"/>
      </w:pPr>
      <w:bookmarkStart w:id="62" w:name="ref-26"/>
      <w:r>
        <w:t xml:space="preserve">Emission Factor: Road freight - Dray - TTW | Transport - Climatiq.</w:t>
      </w:r>
      <w:bookmarkEnd w:id="62"/>
    </w:p>
    <w:p>
      <w:pPr>
        <w:numPr>
          <w:ilvl w:val="0"/>
          <w:numId w:val="1017"/>
        </w:numPr>
        <w:pStyle w:val="Compact"/>
      </w:pPr>
      <w:bookmarkStart w:id="63" w:name="ref-27"/>
      <w:r>
        <w:t xml:space="preserve">Emission Factor: PET - Landfilled | Waste | Plastic Waste | United States of America (the) | Climatiq.</w:t>
      </w:r>
      <w:bookmarkEnd w:id="63"/>
    </w:p>
    <w:p>
      <w:pPr>
        <w:numPr>
          <w:ilvl w:val="0"/>
          <w:numId w:val="1017"/>
        </w:numPr>
        <w:pStyle w:val="Compact"/>
      </w:pPr>
      <w:bookmarkStart w:id="64" w:name="ref-28"/>
      <w:r>
        <w:t xml:space="preserve">Emission Factor: Printed circuit and electronic assembly | Equipment - Climatiq.</w:t>
      </w:r>
      <w:bookmarkEnd w:id="64"/>
    </w:p>
    <w:p>
      <w:pPr>
        <w:numPr>
          <w:ilvl w:val="0"/>
          <w:numId w:val="1017"/>
        </w:numPr>
        <w:pStyle w:val="Compact"/>
      </w:pPr>
      <w:bookmarkStart w:id="65" w:name="ref-29"/>
      <w:r>
        <w:t xml:space="preserve">GHG emission factors for road freight vehicles - AWS.</w:t>
      </w:r>
      <w:bookmarkEnd w:id="65"/>
    </w:p>
    <w:p>
      <w:pPr>
        <w:numPr>
          <w:ilvl w:val="0"/>
          <w:numId w:val="1017"/>
        </w:numPr>
        <w:pStyle w:val="Compact"/>
      </w:pPr>
      <w:bookmarkStart w:id="66" w:name="ref-30"/>
      <w:r>
        <w:t xml:space="preserve">Plastic, PP resin, fossil based · 4.77 kg CO₂e/kg | Verified by CarbonCloud.</w:t>
      </w:r>
      <w:bookmarkEnd w:id="66"/>
    </w:p>
    <w:p>
      <w:pPr>
        <w:numPr>
          <w:ilvl w:val="0"/>
          <w:numId w:val="1017"/>
        </w:numPr>
        <w:pStyle w:val="Compact"/>
      </w:pPr>
      <w:bookmarkStart w:id="67" w:name="ref-31"/>
      <w:r>
        <w:t xml:space="preserve">Greenhouse Gas Emissions from Waste: A Critique on the Data Inconsistencies for Reporting and Decision Making - Scholarena.</w:t>
      </w:r>
      <w:bookmarkEnd w:id="67"/>
    </w:p>
    <w:p>
      <w:pPr>
        <w:numPr>
          <w:ilvl w:val="0"/>
          <w:numId w:val="1017"/>
        </w:numPr>
        <w:pStyle w:val="Compact"/>
      </w:pPr>
      <w:bookmarkStart w:id="68" w:name="ref-32"/>
      <w:r>
        <w:t xml:space="preserve">Emission Factor: Steel - Plate | Materials and Manufacturing | Metals | Global - Climatiq.</w:t>
      </w:r>
      <w:bookmarkEnd w:id="68"/>
    </w:p>
    <w:p>
      <w:pPr>
        <w:numPr>
          <w:ilvl w:val="0"/>
          <w:numId w:val="1017"/>
        </w:numPr>
        <w:pStyle w:val="Compact"/>
      </w:pPr>
      <w:bookmarkStart w:id="69" w:name="ref-33"/>
      <w:r>
        <w:t xml:space="preserve">Greenhouse Gas Emission Calculation Model of Printed Circuit Board for Power and Industry System (the second report)重電・産業システム機器向け電子回路基板の温室効果ガス排出量の算定（第二報） | Request PDF - ResearchGate.</w:t>
      </w:r>
      <w:bookmarkEnd w:id="69"/>
    </w:p>
    <w:p>
      <w:pPr>
        <w:numPr>
          <w:ilvl w:val="0"/>
          <w:numId w:val="1017"/>
        </w:numPr>
        <w:pStyle w:val="Compact"/>
      </w:pPr>
      <w:bookmarkStart w:id="70" w:name="ref-34"/>
      <w:r>
        <w:t xml:space="preserve">The Carbon Footprint of PCBs: How Recyclable Materials Can Make a Difference - ALLPCB. (2025, July 24).</w:t>
      </w:r>
      <w:bookmarkEnd w:id="70"/>
    </w:p>
    <w:p>
      <w:pPr>
        <w:numPr>
          <w:ilvl w:val="0"/>
          <w:numId w:val="1017"/>
        </w:numPr>
        <w:pStyle w:val="Compact"/>
      </w:pPr>
      <w:bookmarkStart w:id="71" w:name="ref-35"/>
      <w:r>
        <w:t xml:space="preserve">FreightosCO2 Emissions Sea &amp; Air Freight Calculator | Freightos.</w:t>
      </w:r>
      <w:bookmarkEnd w:id="71"/>
    </w:p>
    <w:p>
      <w:pPr>
        <w:numPr>
          <w:ilvl w:val="0"/>
          <w:numId w:val="1017"/>
        </w:numPr>
        <w:pStyle w:val="Compact"/>
      </w:pPr>
      <w:bookmarkStart w:id="72" w:name="ref-36"/>
      <w:r>
        <w:t xml:space="preserve">Reducing PCB Carbon Footprint: The Role of Sustainable Materials - aivon. (2025, December 11).</w:t>
      </w:r>
      <w:bookmarkEnd w:id="72"/>
    </w:p>
    <w:p>
      <w:pPr>
        <w:numPr>
          <w:ilvl w:val="0"/>
          <w:numId w:val="1017"/>
        </w:numPr>
        <w:pStyle w:val="Compact"/>
      </w:pPr>
      <w:bookmarkStart w:id="73" w:name="ref-37"/>
      <w:r>
        <w:t xml:space="preserve">Greenhouse Gas Emission Reduction Potential of European Union\'s Circularity Related Targets for Plastics. (2023, March 01).</w:t>
      </w:r>
      <w:bookmarkEnd w:id="73"/>
    </w:p>
    <w:p>
      <w:pPr>
        <w:numPr>
          <w:ilvl w:val="0"/>
          <w:numId w:val="1017"/>
        </w:numPr>
        <w:pStyle w:val="Compact"/>
      </w:pPr>
      <w:bookmarkStart w:id="74" w:name="ref-38"/>
      <w:r>
        <w:t xml:space="preserve">2.C.1 - Iron and Steel Production - EFDB - Basic Search.</w:t>
      </w:r>
      <w:bookmarkEnd w:id="74"/>
    </w:p>
    <w:p>
      <w:pPr>
        <w:numPr>
          <w:ilvl w:val="0"/>
          <w:numId w:val="1017"/>
        </w:numPr>
        <w:pStyle w:val="Compact"/>
      </w:pPr>
      <w:bookmarkStart w:id="75" w:name="ref-39"/>
      <w:r>
        <w:t xml:space="preserve">Emission Factor: Aluminum Ingot - Recycled | Waste | Metal Waste | United States of America (the) | Climatiq.</w:t>
      </w:r>
      <w:bookmarkEnd w:id="75"/>
    </w:p>
    <w:p>
      <w:pPr>
        <w:numPr>
          <w:ilvl w:val="0"/>
          <w:numId w:val="1017"/>
        </w:numPr>
        <w:pStyle w:val="Compact"/>
      </w:pPr>
      <w:bookmarkStart w:id="76" w:name="ref-40"/>
      <w:r>
        <w:t xml:space="preserve">Virgin PP vs. 100% Recycled PP Carbon footprint - Tandem Wood Products.</w:t>
      </w:r>
      <w:bookmarkEnd w:id="76"/>
    </w:p>
    <w:p>
      <w:pPr>
        <w:numPr>
          <w:ilvl w:val="0"/>
          <w:numId w:val="1017"/>
        </w:numPr>
        <w:pStyle w:val="Compact"/>
      </w:pPr>
      <w:bookmarkStart w:id="77" w:name="ref-41"/>
      <w:r>
        <w:t xml:space="preserve">Plastics waste, closed-loop recycling - Carbon Footprint Platform – OpenCO2.net. (2025, September 29).</w:t>
      </w:r>
      <w:bookmarkEnd w:id="77"/>
    </w:p>
    <w:p>
      <w:pPr>
        <w:numPr>
          <w:ilvl w:val="0"/>
          <w:numId w:val="1017"/>
        </w:numPr>
        <w:pStyle w:val="Compact"/>
      </w:pPr>
      <w:bookmarkStart w:id="78" w:name="ref-42"/>
      <w:r>
        <w:t xml:space="preserve">Understand your aluminum emissions - CarbonChain. (2022, June 27).</w:t>
      </w:r>
      <w:bookmarkEnd w:id="78"/>
    </w:p>
    <w:p>
      <w:pPr>
        <w:numPr>
          <w:ilvl w:val="0"/>
          <w:numId w:val="1017"/>
        </w:numPr>
        <w:pStyle w:val="Compact"/>
      </w:pPr>
      <w:bookmarkStart w:id="79" w:name="ref-43"/>
      <w:r>
        <w:t xml:space="preserve">Life-Cycle Assessment of Polypropylene Production in the Gulf Cooperation Council (GCC) Region - PMC. (2021, November 02).</w:t>
      </w:r>
      <w:bookmarkEnd w:id="79"/>
    </w:p>
    <w:p>
      <w:pPr>
        <w:numPr>
          <w:ilvl w:val="0"/>
          <w:numId w:val="1017"/>
        </w:numPr>
        <w:pStyle w:val="Compact"/>
      </w:pPr>
      <w:bookmarkStart w:id="80" w:name="ref-44"/>
      <w:r>
        <w:t xml:space="preserve">What is the carbon footprint of steel? - Sustainable Ships. (2022, March 15).</w:t>
      </w:r>
      <w:bookmarkEnd w:id="80"/>
    </w:p>
    <w:p>
      <w:pPr>
        <w:numPr>
          <w:ilvl w:val="0"/>
          <w:numId w:val="1017"/>
        </w:numPr>
        <w:pStyle w:val="Compact"/>
      </w:pPr>
      <w:bookmarkStart w:id="81" w:name="ref-45"/>
      <w:r>
        <w:t xml:space="preserve">PFC EMISSIONS FROM PRIMARY ALUMINIUM PRODUCTION - IPCC - Task Force on National Greenhouse Gas Inventories.</w:t>
      </w:r>
      <w:bookmarkEnd w:id="81"/>
    </w:p>
    <w:p>
      <w:pPr>
        <w:numPr>
          <w:ilvl w:val="0"/>
          <w:numId w:val="1017"/>
        </w:numPr>
        <w:pStyle w:val="Compact"/>
      </w:pPr>
      <w:bookmarkStart w:id="82" w:name="ref-46"/>
      <w:r>
        <w:t xml:space="preserve">Aluminum GHG Emissions Reporting Guidance | RMI.</w:t>
      </w:r>
      <w:bookmarkEnd w:id="82"/>
    </w:p>
    <w:p>
      <w:pPr>
        <w:numPr>
          <w:ilvl w:val="0"/>
          <w:numId w:val="1017"/>
        </w:numPr>
        <w:pStyle w:val="Compact"/>
      </w:pPr>
      <w:bookmarkStart w:id="83" w:name="ref-47"/>
      <w:r>
        <w:t xml:space="preserve">Why Is the Carbon Footprint Calculation for Recycled Metal So Complex? (2025, November 07).</w:t>
      </w:r>
      <w:bookmarkEnd w:id="83"/>
    </w:p>
    <w:p>
      <w:pPr>
        <w:numPr>
          <w:ilvl w:val="0"/>
          <w:numId w:val="1017"/>
        </w:numPr>
        <w:pStyle w:val="Compact"/>
      </w:pPr>
      <w:bookmarkStart w:id="84" w:name="ref-48"/>
      <w:r>
        <w:t xml:space="preserve">How to avoid greenwashing when calculating the carbon footprint of recycled aluminium. (2024, May 29).</w:t>
      </w:r>
      <w:bookmarkEnd w:id="84"/>
    </w:p>
    <w:bookmarkEnd w:id="85"/>
    <w:bookmarkEnd w:id="8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finznydjof</dc:title>
  <dc:creator/>
  <dc:description>High-detail Product Carbon Footprint (PCF) analysis report for finznydjof by dpyprljqdx, adhering to GHG Protocol and 2026 LSR Update requirements.</dc:description>
  <dc:language>en</dc:language>
  <cp:keywords/>
  <dcterms:created xsi:type="dcterms:W3CDTF">2026-05-30T21:00:06Z</dcterms:created>
  <dcterms:modified xsi:type="dcterms:W3CDTF">2026-05-30T21:00:06Z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