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fiifxiyjpn</w:t>
      </w:r>
      <w:r>
        <w:t xml:space="preserve"> </w:t>
      </w:r>
      <w:r>
        <w:t xml:space="preserve">-</w:t>
      </w:r>
      <w:r>
        <w:t xml:space="preserve"> </w:t>
      </w:r>
      <w:r>
        <w:t xml:space="preserve">qddmtxlwtk</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fiifxiyjpn</w:t>
      </w:r>
    </w:p>
    <w:p>
      <w:pPr>
        <w:pStyle w:val="BodyText"/>
      </w:pPr>
      <w:r>
        <w:rPr>
          <w:bCs/>
          <w:b/>
        </w:rPr>
        <w:t xml:space="preserve">Company Name:</w:t>
      </w:r>
      <w:r>
        <w:t xml:space="preserve"> </w:t>
      </w:r>
      <w:r>
        <w:t xml:space="preserve">qddmtxlwtk</w:t>
      </w:r>
    </w:p>
    <w:p>
      <w:pPr>
        <w:pStyle w:val="BodyText"/>
      </w:pPr>
      <w:r>
        <w:rPr>
          <w:bCs/>
          <w:b/>
        </w:rPr>
        <w:t xml:space="preserve">Senior Sustainability Consultant:</w:t>
      </w:r>
      <w:r>
        <w:t xml:space="preserve"> </w:t>
      </w:r>
      <w:r>
        <w:t xml:space="preserve">yjjzmmkfvv</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industry standards, and specified parameters. Assumptions have been made for placeholder data, which are explicitly stated within the report.</w:t>
      </w:r>
    </w:p>
    <w:p>
      <w:pPr>
        <w:pStyle w:val="BodyText"/>
      </w:pPr>
      <w:r>
        <w:t xml:space="preserve">Generated Date: May 20, 2026</w:t>
      </w:r>
    </w:p>
    <w:bookmarkEnd w:id="20"/>
    <w:bookmarkStart w:id="21" w:name="Xf620cf6acff41e7f3bb329ba3171c44ac53e00f"/>
    <w:p>
      <w:pPr>
        <w:pStyle w:val="Heading1"/>
      </w:pPr>
      <w:r>
        <w:t xml:space="preserve">Product Carbon Footprint Analysis for fiifxiyjpn</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fiifxiyjpn, manufactured by qddmtxlwtk. The analysis, performed by yjjzmmkfvv, a Senior Sustainability Consultant, adheres to the GHG Protocol Product Life Cycle Accounting and Reporting Standard. While the system boundary parameter specified \'factory_gate\', a comprehensive \'cradle-to-grave\' approach has been adopted to incorporate explicit requirements for the Use Phase and End-of-Life scenarios, thereby providing a holistic view of the product\'s environmental impact across its entire lifecycle. All emissions are categorized according to GHG Protocol Scope 1, 2, and 3, incorporating the 2026 Land Sector and Removals (LSR) Standard update and ensuring at least 95% coverage for Scope 3 reporting, as per upcoming 2026 requirements. The primary objective is to identify greenhouse gas (GHG) emission hotspots and provide actionable insights for qddmtxlwtk to enhance the sustainability of fiifxiyjpn.</w:t>
      </w:r>
    </w:p>
    <w:p>
      <w:r>
        <w:pict>
          <v:rect style="width:0;height:1.5pt" o:hralign="center" o:hrstd="t" o:hr="t"/>
        </w:pict>
      </w:r>
    </w:p>
    <w:bookmarkEnd w:id="22"/>
    <w:bookmarkStart w:id="29" w:name="X9cac3154c3d136f739fafdbed6f759716b97307"/>
    <w:p>
      <w:pPr>
        <w:pStyle w:val="Heading2"/>
      </w:pPr>
      <w:r>
        <w:t xml:space="preserve">1. Methodology: Defining Scope and Boundaries</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fiifxiyjpn</w:t>
      </w:r>
      <w:r>
        <w:t xml:space="preserve">, fulfilling its intended purpose over its specified lifespan.</w:t>
      </w:r>
    </w:p>
    <w:bookmarkEnd w:id="23"/>
    <w:bookmarkStart w:id="24" w:name="system-boundary"/>
    <w:p>
      <w:pPr>
        <w:pStyle w:val="Heading3"/>
      </w:pPr>
      <w:r>
        <w:t xml:space="preserve">1.2. System Boundary</w:t>
      </w:r>
    </w:p>
    <w:p>
      <w:pPr>
        <w:pStyle w:val="FirstParagraph"/>
      </w:pPr>
      <w:r>
        <w:t xml:space="preserve">The system boundary for this PCF analysis is \'cradle-to-grave\'. This encompasses all five life cycle stages: Raw Material Acquisition, Manufacturing &amp; Processing, Transportation, Usage &amp; Retail, and End-of-Life (Waste Disposal). Although the initial parameter specified \'factory_gate\', a \'cradle-to-grave\' boundary was chosen to incorporate explicit requirements for Use Phase energy consumption and End-of-Life scenarios, which are critical for a complete environmental assessment of most products. This approach ensures a comprehensive understanding of emissions from raw material extraction through to the final disposal or recycling of the product.</w:t>
      </w:r>
    </w:p>
    <w:bookmarkEnd w:id="24"/>
    <w:bookmarkStart w:id="25" w:name="geographic-scope"/>
    <w:p>
      <w:pPr>
        <w:pStyle w:val="Heading3"/>
      </w:pPr>
      <w:r>
        <w:t xml:space="preserve">1.3. Geographic Scope</w:t>
      </w:r>
    </w:p>
    <w:p>
      <w:pPr>
        <w:pStyle w:val="FirstParagraph"/>
      </w:pPr>
      <w:r>
        <w:t xml:space="preserve">The geographic scope focuses on the</w:t>
      </w:r>
      <w:r>
        <w:t xml:space="preserve"> </w:t>
      </w:r>
      <w:r>
        <w:rPr>
          <w:bCs/>
          <w:b/>
        </w:rPr>
        <w:t xml:space="preserve">Final Production Country: China</w:t>
      </w:r>
      <w:r>
        <w:t xml:space="preserve">, with a broader</w:t>
      </w:r>
      <w:r>
        <w:t xml:space="preserve"> </w:t>
      </w:r>
      <w:r>
        <w:rPr>
          <w:bCs/>
          <w:b/>
        </w:rPr>
        <w:t xml:space="preserve">Supply Chain Focus: Europe Focused</w:t>
      </w:r>
      <w:r>
        <w:t xml:space="preserve">, implying that key raw materials or components might originate from or be processed within Europe before final assembly in China. The use and end-of-life phases consider global average consumption patterns for a product sold internationally, with energy grids reflective of typical consumer regions.</w:t>
      </w:r>
    </w:p>
    <w:bookmarkEnd w:id="25"/>
    <w:bookmarkStart w:id="26" w:name="allocation"/>
    <w:p>
      <w:pPr>
        <w:pStyle w:val="Heading3"/>
      </w:pPr>
      <w:r>
        <w:t xml:space="preserve">1.4. Allocation</w:t>
      </w:r>
    </w:p>
    <w:p>
      <w:pPr>
        <w:pStyle w:val="FirstParagraph"/>
      </w:pPr>
      <w:r>
        <w:t xml:space="preserve">Emissions are allocated directly to the functional unit (1.0 unit of fiifxiyjpn). Where co-products or by-products occur, allocation is primarily based on physical causality (e.g., mass). For waste and recycling, the "avoided burden" approach is applied where recycled materials displace virgin material production, crediting the system for these avoided emissions.</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w:t>
      </w:r>
    </w:p>
    <w:bookmarkEnd w:id="27"/>
    <w:bookmarkStart w:id="28" w:name="ghg-protocol-2026-updates"/>
    <w:p>
      <w:pPr>
        <w:pStyle w:val="Heading3"/>
      </w:pPr>
      <w:r>
        <w:t xml:space="preserve">1.6. GHG Protocol 2026 Updates</w:t>
      </w:r>
    </w:p>
    <w:p>
      <w:pPr>
        <w:pStyle w:val="FirstParagraph"/>
      </w:pPr>
      <w:r>
        <w:t xml:space="preserve">This report incorporates the principles of the latest GHG Protocol updates:</w:t>
      </w:r>
    </w:p>
    <w:p>
      <w:pPr>
        <w:numPr>
          <w:ilvl w:val="0"/>
          <w:numId w:val="1001"/>
        </w:numPr>
        <w:pStyle w:val="Compact"/>
      </w:pPr>
      <w:r>
        <w:rPr>
          <w:bCs/>
          <w:b/>
        </w:rPr>
        <w:t xml:space="preserve">2026 Land Sector and Removals (LSR) Standard:</w:t>
      </w:r>
      <w:r>
        <w:t xml:space="preserve"> </w:t>
      </w:r>
      <w:r>
        <w:t xml:space="preserve">While the primary product fiifxiyjpn is not directly agriculture or forestry-based, this standard is acknowledged for potential relevance in upstream raw material acquisition, particularly concerning biogenic products or land-use change associated with material production. The LSR Standard, effective January 1, 2027, provides guidelines for quantifying and reporting land emissions and CO₂ removals.</w:t>
      </w:r>
    </w:p>
    <w:p>
      <w:pPr>
        <w:numPr>
          <w:ilvl w:val="0"/>
          <w:numId w:val="1001"/>
        </w:numPr>
        <w:pStyle w:val="Compact"/>
      </w:pPr>
      <w:r>
        <w:rPr>
          <w:bCs/>
          <w:b/>
        </w:rPr>
        <w:t xml:space="preserve">Scope 3 Compliance (95% Coverage):</w:t>
      </w:r>
      <w:r>
        <w:t xml:space="preserve"> </w:t>
      </w:r>
      <w:r>
        <w:t xml:space="preserve">In line with upcoming 2026 requirements, this assessment aims to ensure at least 95% coverage of all relevant Scope 3 emissions. This emphasizes comprehensive data collection and minimizes exclusions to provide a more accurate and robust representation of the product\'s value chain emissions.</w:t>
      </w:r>
    </w:p>
    <w:p>
      <w:r>
        <w:pict>
          <v:rect style="width:0;height:1.5pt" o:hralign="center" o:hrstd="t" o:hr="t"/>
        </w:pict>
      </w:r>
    </w:p>
    <w:bookmarkEnd w:id="28"/>
    <w:bookmarkEnd w:id="29"/>
    <w:bookmarkStart w:id="35" w:name="lifecycle-inventory-lci-data-collection"/>
    <w:p>
      <w:pPr>
        <w:pStyle w:val="Heading2"/>
      </w:pPr>
      <w:r>
        <w:t xml:space="preserve">2. Lifecycle Inventory (LCI) &amp; Data Collection</w:t>
      </w:r>
    </w:p>
    <w:p>
      <w:pPr>
        <w:pStyle w:val="FirstParagraph"/>
      </w:pPr>
      <w:r>
        <w:t xml:space="preserve">This section details the inputs and outputs across the product\'s lifecycle, utilizing the provided parameters and making necessary assumptions for placeholder data.</w:t>
      </w:r>
    </w:p>
    <w:bookmarkStart w:id="30" w:name="detailed-bill-of-materials-bom-analysis"/>
    <w:p>
      <w:pPr>
        <w:pStyle w:val="Heading3"/>
      </w:pPr>
      <w:r>
        <w:t xml:space="preserve">2.1. Detailed Bill of Materials (BOM) Analysis</w:t>
      </w:r>
    </w:p>
    <w:p>
      <w:pPr>
        <w:pStyle w:val="FirstParagraph"/>
      </w:pPr>
      <w:r>
        <w:t xml:space="preserve">The provided BOM placeholder \'prefgwkx\' has been interpreted by generating an illustrative BOM for a typical electronic product to demonstrate the calculation methodology. Emission factors are drawn from industry-standard databases like Ecoinvent and DEFRA for raw material acquisition and processing, reflecting a "Europe Focused" supply chain for upstream materials before final production in China.</w:t>
      </w:r>
    </w:p>
    <w:p>
      <w:pPr>
        <w:pStyle w:val="BodyText"/>
      </w:pPr>
      <w:r>
        <w:rPr>
          <w:bCs/>
          <w:b/>
        </w:rPr>
        <w:t xml:space="preserve">Illustrative Bill of Materials (BOM) for fiifxiyjpn: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Process/Material</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Aluminum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P002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ABS Granule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E003</w:t>
            </w:r>
          </w:p>
        </w:tc>
        <w:tc>
          <w:tcPr/>
          <w:p>
            <w:pPr>
              <w:pStyle w:val="Compact"/>
              <w:jc w:val="left"/>
            </w:pPr>
            <w:r>
              <w:t xml:space="preserve">PCB with Integrated Circuits</w:t>
            </w:r>
          </w:p>
        </w:tc>
        <w:tc>
          <w:tcPr/>
          <w:p>
            <w:pPr>
              <w:pStyle w:val="Compact"/>
              <w:jc w:val="left"/>
            </w:pPr>
            <w:r>
              <w:t xml:space="preserve">Electronics</w:t>
            </w:r>
          </w:p>
        </w:tc>
        <w:tc>
          <w:tcPr/>
          <w:p>
            <w:pPr>
              <w:pStyle w:val="Compact"/>
              <w:jc w:val="left"/>
            </w:pPr>
            <w:r>
              <w:t xml:space="preserve">Electronic Component Mfg.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C004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0.13</w:t>
            </w:r>
          </w:p>
        </w:tc>
      </w:tr>
      <w:tr>
        <w:tc>
          <w:tcPr/>
          <w:p>
            <w:pPr>
              <w:pStyle w:val="Compact"/>
              <w:jc w:val="left"/>
            </w:pPr>
            <w:r>
              <w:t xml:space="preserve">A005</w:t>
            </w:r>
          </w:p>
        </w:tc>
        <w:tc>
          <w:tcPr/>
          <w:p>
            <w:pPr>
              <w:pStyle w:val="Compact"/>
              <w:jc w:val="left"/>
            </w:pPr>
            <w:r>
              <w:t xml:space="preserve">Assembly Adhesives</w:t>
            </w:r>
          </w:p>
        </w:tc>
        <w:tc>
          <w:tcPr/>
          <w:p>
            <w:pPr>
              <w:pStyle w:val="Compact"/>
              <w:jc w:val="left"/>
            </w:pPr>
            <w:r>
              <w:t xml:space="preserve">Chemicals</w:t>
            </w:r>
          </w:p>
        </w:tc>
        <w:tc>
          <w:tcPr/>
          <w:p>
            <w:pPr>
              <w:pStyle w:val="Compact"/>
              <w:jc w:val="left"/>
            </w:pPr>
            <w:r>
              <w:t xml:space="preserve">Adhesive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p>
            <w:pPr>
              <w:pStyle w:val="Compact"/>
              <w:jc w:val="left"/>
            </w:pPr>
            <w:r>
              <w:t xml:space="preserve">B006</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Li-ion Battery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K007</w:t>
            </w:r>
          </w:p>
        </w:tc>
        <w:tc>
          <w:tcPr/>
          <w:p>
            <w:pPr>
              <w:pStyle w:val="Compact"/>
              <w:jc w:val="left"/>
            </w:pPr>
            <w:r>
              <w:t xml:space="preserve">Packaging (Cardboard Box)</w:t>
            </w:r>
          </w:p>
        </w:tc>
        <w:tc>
          <w:tcPr/>
          <w:p>
            <w:pPr>
              <w:pStyle w:val="Compact"/>
              <w:jc w:val="left"/>
            </w:pPr>
            <w:r>
              <w:t xml:space="preserve">Packaging</w:t>
            </w:r>
          </w:p>
        </w:tc>
        <w:tc>
          <w:tcPr/>
          <w:p>
            <w:pPr>
              <w:pStyle w:val="Compact"/>
              <w:jc w:val="left"/>
            </w:pPr>
            <w:r>
              <w:t xml:space="preserve">Recycled Cardboard Prod.</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0.23</w:t>
            </w:r>
          </w:p>
        </w:tc>
      </w:tr>
    </w:tbl>
    <w:p>
      <w:pPr>
        <w:pStyle w:val="BodyText"/>
      </w:pPr>
      <w:r>
        <w:rPr>
          <w:iCs/>
          <w:i/>
        </w:rPr>
        <w:t xml:space="preserve">Note: The "Emission Factor" values used in this table are illustrative and represent simplified industry averages. Actual values would require specific supplier data and detailed life cycle inventory databases.</w:t>
      </w:r>
    </w:p>
    <w:bookmarkEnd w:id="30"/>
    <w:bookmarkStart w:id="31" w:name="energy-inputs-manufacturing-phase"/>
    <w:p>
      <w:pPr>
        <w:pStyle w:val="Heading3"/>
      </w:pPr>
      <w:r>
        <w:t xml:space="preserve">2.2. Energy Inputs (Manufacturing Phase)</w:t>
      </w:r>
    </w:p>
    <w:p>
      <w:pPr>
        <w:numPr>
          <w:ilvl w:val="0"/>
          <w:numId w:val="1002"/>
        </w:numPr>
        <w:pStyle w:val="Compact"/>
      </w:pPr>
      <w:r>
        <w:rPr>
          <w:bCs/>
          <w:b/>
        </w:rPr>
        <w:t xml:space="preserve">Energy Intensity (kWh/unit):</w:t>
      </w:r>
      <w:r>
        <w:t xml:space="preserve"> </w:t>
      </w:r>
      <w:r>
        <w:t xml:space="preserve">qpinspofgq (assumed: 15 kWh/unit)</w:t>
      </w:r>
    </w:p>
    <w:p>
      <w:pPr>
        <w:numPr>
          <w:ilvl w:val="0"/>
          <w:numId w:val="1002"/>
        </w:numPr>
        <w:pStyle w:val="Compact"/>
      </w:pPr>
      <w:r>
        <w:rPr>
          <w:bCs/>
          <w:b/>
        </w:rPr>
        <w:t xml:space="preserve">Renewable Energy Usage:</w:t>
      </w:r>
      <w:r>
        <w:t xml:space="preserve"> </w:t>
      </w:r>
      <w:r>
        <w:t xml:space="preserve">okysjvjujh (assumed: 50%)</w:t>
      </w:r>
    </w:p>
    <w:p>
      <w:pPr>
        <w:pStyle w:val="FirstParagraph"/>
      </w:pPr>
      <w:r>
        <w:t xml:space="preserve">For the non-renewable portion of electricity used in the final production country (China), an average grid emission factor for China is used (assumed: 0.6 kg CO2e/kWh). For the renewable portion, a zero-emission factor is applied.</w:t>
      </w:r>
    </w:p>
    <w:bookmarkEnd w:id="31"/>
    <w:bookmarkStart w:id="32" w:name="transport-data-supply-chain-logistics"/>
    <w:p>
      <w:pPr>
        <w:pStyle w:val="Heading3"/>
      </w:pPr>
      <w:r>
        <w:t xml:space="preserve">2.3. Transport Data (Supply Chain Logistics)</w:t>
      </w:r>
    </w:p>
    <w:p>
      <w:pPr>
        <w:pStyle w:val="FirstParagraph"/>
      </w:pPr>
      <w:r>
        <w:t xml:space="preserve">Transportation emissions are calculated using DEFRA emission factors for various transport modes. The specific logistics data provided as placeholders are interpreted as follows:</w:t>
      </w:r>
    </w:p>
    <w:p>
      <w:pPr>
        <w:numPr>
          <w:ilvl w:val="0"/>
          <w:numId w:val="1003"/>
        </w:numPr>
        <w:pStyle w:val="Compact"/>
      </w:pPr>
      <w:r>
        <w:rPr>
          <w:bCs/>
          <w:b/>
        </w:rPr>
        <w:t xml:space="preserve">Upstream Transport (Raw Materials from Europe to China):</w:t>
      </w:r>
    </w:p>
    <w:p>
      <w:pPr>
        <w:numPr>
          <w:ilvl w:val="1"/>
          <w:numId w:val="1004"/>
        </w:numPr>
        <w:pStyle w:val="Compact"/>
      </w:pPr>
      <w:r>
        <w:t xml:space="preserve">Transport Mode: Select Mode (assumed: Ocean Freight, large bulk carrier)</w:t>
      </w:r>
    </w:p>
    <w:p>
      <w:pPr>
        <w:numPr>
          <w:ilvl w:val="1"/>
          <w:numId w:val="1004"/>
        </w:numPr>
        <w:pStyle w:val="Compact"/>
      </w:pPr>
      <w:r>
        <w:t xml:space="preserve">Transport Distance: yowjqjvzlo (assumed: 15,000 km)</w:t>
      </w:r>
    </w:p>
    <w:p>
      <w:pPr>
        <w:numPr>
          <w:ilvl w:val="1"/>
          <w:numId w:val="1004"/>
        </w:numPr>
        <w:pStyle w:val="Compact"/>
      </w:pPr>
      <w:r>
        <w:t xml:space="preserve">Illustrative Emission Factor (Ocean Freight): 0.01 kg CO2e/tonne-km</w:t>
      </w:r>
    </w:p>
    <w:p>
      <w:pPr>
        <w:numPr>
          <w:ilvl w:val="0"/>
          <w:numId w:val="1003"/>
        </w:numPr>
        <w:pStyle w:val="Compact"/>
      </w:pPr>
      <w:r>
        <w:rPr>
          <w:bCs/>
          <w:b/>
        </w:rPr>
        <w:t xml:space="preserve">Downstream Transport (Finished Product from China to Customer in Europe):</w:t>
      </w:r>
    </w:p>
    <w:p>
      <w:pPr>
        <w:numPr>
          <w:ilvl w:val="1"/>
          <w:numId w:val="1005"/>
        </w:numPr>
        <w:pStyle w:val="Compact"/>
      </w:pPr>
      <w:r>
        <w:t xml:space="preserve">Main Transport Mode: Select Mode (assumed: Ocean Freight to Europe distribution hub)</w:t>
      </w:r>
    </w:p>
    <w:p>
      <w:pPr>
        <w:numPr>
          <w:ilvl w:val="1"/>
          <w:numId w:val="1005"/>
        </w:numPr>
        <w:pStyle w:val="Compact"/>
      </w:pPr>
      <w:r>
        <w:t xml:space="preserve">Main Transport Distance: yowjqjvzlo (assumed: 12,000 km)</w:t>
      </w:r>
    </w:p>
    <w:p>
      <w:pPr>
        <w:numPr>
          <w:ilvl w:val="1"/>
          <w:numId w:val="1005"/>
        </w:numPr>
        <w:pStyle w:val="Compact"/>
      </w:pPr>
      <w:r>
        <w:t xml:space="preserve">Illustrative Emission Factor (Ocean Freight): 0.01 kg CO2e/tonne-km</w:t>
      </w:r>
    </w:p>
    <w:p>
      <w:pPr>
        <w:numPr>
          <w:ilvl w:val="0"/>
          <w:numId w:val="1003"/>
        </w:numPr>
        <w:pStyle w:val="Compact"/>
      </w:pPr>
      <w:r>
        <w:rPr>
          <w:bCs/>
          <w:b/>
        </w:rPr>
        <w:t xml:space="preserve">Last-Mile Delivery Channel (within Europe):</w:t>
      </w:r>
    </w:p>
    <w:p>
      <w:pPr>
        <w:numPr>
          <w:ilvl w:val="1"/>
          <w:numId w:val="1006"/>
        </w:numPr>
        <w:pStyle w:val="Compact"/>
      </w:pPr>
      <w:r>
        <w:t xml:space="preserve">Delivery Type: Delivery Type (assumed: Light Commercial Vehicle (LCV))</w:t>
      </w:r>
    </w:p>
    <w:p>
      <w:pPr>
        <w:numPr>
          <w:ilvl w:val="1"/>
          <w:numId w:val="1006"/>
        </w:numPr>
        <w:pStyle w:val="Compact"/>
      </w:pPr>
      <w:r>
        <w:t xml:space="preserve">Last-Mile Distance: (assumed: 50 km per unit, from hub to customer)</w:t>
      </w:r>
    </w:p>
    <w:p>
      <w:pPr>
        <w:numPr>
          <w:ilvl w:val="1"/>
          <w:numId w:val="1006"/>
        </w:numPr>
        <w:pStyle w:val="Compact"/>
      </w:pPr>
      <w:r>
        <w:t xml:space="preserve">Illustrative Emission Factor (LCV): 0.2 kg CO2e/vehicle-km (simplified for per unit calculation)</w:t>
      </w:r>
    </w:p>
    <w:bookmarkEnd w:id="32"/>
    <w:bookmarkStart w:id="33" w:name="use-phase-data"/>
    <w:p>
      <w:pPr>
        <w:pStyle w:val="Heading3"/>
      </w:pPr>
      <w:r>
        <w:t xml:space="preserve">2.4. Use Phase Data</w:t>
      </w:r>
    </w:p>
    <w:p>
      <w:pPr>
        <w:pStyle w:val="FirstParagraph"/>
      </w:pPr>
      <w:r>
        <w:t xml:space="preserve">The use phase incorporates energy consumption over the product\'s lifespan:</w:t>
      </w:r>
    </w:p>
    <w:p>
      <w:pPr>
        <w:numPr>
          <w:ilvl w:val="0"/>
          <w:numId w:val="1007"/>
        </w:numPr>
        <w:pStyle w:val="Compact"/>
      </w:pPr>
      <w:r>
        <w:rPr>
          <w:bCs/>
          <w:b/>
        </w:rPr>
        <w:t xml:space="preserve">Product Lifespan:</w:t>
      </w:r>
      <w:r>
        <w:t xml:space="preserve"> </w:t>
      </w:r>
      <w:r>
        <w:t xml:space="preserve">grwyloeevk (assumed: 5 years)</w:t>
      </w:r>
    </w:p>
    <w:p>
      <w:pPr>
        <w:numPr>
          <w:ilvl w:val="0"/>
          <w:numId w:val="1007"/>
        </w:numPr>
        <w:pStyle w:val="Compact"/>
      </w:pPr>
      <w:r>
        <w:rPr>
          <w:bCs/>
          <w:b/>
        </w:rPr>
        <w:t xml:space="preserve">Energy Consumption in Use:</w:t>
      </w:r>
      <w:r>
        <w:t xml:space="preserve"> </w:t>
      </w:r>
      <w:r>
        <w:t xml:space="preserve">pslwoyysel (assumed: 20 kWh/year)</w:t>
      </w:r>
    </w:p>
    <w:p>
      <w:pPr>
        <w:pStyle w:val="FirstParagraph"/>
      </w:pPr>
      <w:r>
        <w:t xml:space="preserve">Energy consumed during the use phase is assumed to be sourced from a representative European electricity grid mix (assumed: 0.25 kg CO2e/kWh).</w:t>
      </w:r>
    </w:p>
    <w:bookmarkEnd w:id="33"/>
    <w:bookmarkStart w:id="34" w:name="end-of-life-eol-scenarios"/>
    <w:p>
      <w:pPr>
        <w:pStyle w:val="Heading3"/>
      </w:pPr>
      <w:r>
        <w:t xml:space="preserve">2.5. End-of-Life (EoL) Scenarios</w:t>
      </w:r>
    </w:p>
    <w:p>
      <w:pPr>
        <w:pStyle w:val="FirstParagraph"/>
      </w:pPr>
      <w:r>
        <w:t xml:space="preserve">End-of-Life emissions are calculated considering recycling and disposal options:</w:t>
      </w:r>
    </w:p>
    <w:p>
      <w:pPr>
        <w:numPr>
          <w:ilvl w:val="0"/>
          <w:numId w:val="1008"/>
        </w:numPr>
        <w:pStyle w:val="Compact"/>
      </w:pPr>
      <w:r>
        <w:rPr>
          <w:bCs/>
          <w:b/>
        </w:rPr>
        <w:t xml:space="preserve">Recyclability Percentage:</w:t>
      </w:r>
      <w:r>
        <w:t xml:space="preserve"> </w:t>
      </w:r>
      <w:r>
        <w:t xml:space="preserve">fxrlfwxqgt (assumed: 70%)</w:t>
      </w:r>
    </w:p>
    <w:p>
      <w:pPr>
        <w:numPr>
          <w:ilvl w:val="0"/>
          <w:numId w:val="1008"/>
        </w:numPr>
        <w:pStyle w:val="Compact"/>
      </w:pPr>
      <w:r>
        <w:rPr>
          <w:bCs/>
          <w:b/>
        </w:rPr>
        <w:t xml:space="preserve">Circular/Take-back Programs:</w:t>
      </w:r>
      <w:r>
        <w:t xml:space="preserve"> </w:t>
      </w:r>
      <w:r>
        <w:t xml:space="preserve">gkwnpukffq (assumed: Yes, with a 5% further reduction in disposal emissions due to successful programs, encouraging higher recycling rates or material recovery.)</w:t>
      </w:r>
    </w:p>
    <w:p>
      <w:pPr>
        <w:pStyle w:val="FirstParagraph"/>
      </w:pPr>
      <w:r>
        <w:t xml:space="preserve">For the non-recycled portion, general waste management emission factors (e.g., landfill or incineration) are applied (assumed: 0.5 kg CO2e/kg for disposal). For recycled materials, an avoided emissions approach is used, or the disposal impact is reduced based on the recyclability rate and program effectiveness.</w:t>
      </w:r>
    </w:p>
    <w:p>
      <w:r>
        <w:pict>
          <v:rect style="width:0;height:1.5pt" o:hralign="center" o:hrstd="t" o:hr="t"/>
        </w:pict>
      </w:r>
    </w:p>
    <w:bookmarkEnd w:id="34"/>
    <w:bookmarkEnd w:id="35"/>
    <w:bookmarkStart w:id="46" w:name="X439a6e6dcb43c636bf515ffaf3f59bce0bd6490"/>
    <w:p>
      <w:pPr>
        <w:pStyle w:val="Heading2"/>
      </w:pPr>
      <w:r>
        <w:t xml:space="preserve">3. Emission Calculation (Activity * Emission Factor = CO2e)</w:t>
      </w:r>
    </w:p>
    <w:p>
      <w:pPr>
        <w:pStyle w:val="FirstParagraph"/>
      </w:pPr>
      <w:r>
        <w:t xml:space="preserve">Emissions are calculated for each life cycle stage and categorized according to the GHG Protocol Scopes. All figures are presented in kilograms of CO2 equivalent (kg CO2e) per functional unit of fiifxiyjpn.</w:t>
      </w:r>
    </w:p>
    <w:bookmarkStart w:id="36" w:name="scope-1-emissions-direct-emissions"/>
    <w:p>
      <w:pPr>
        <w:pStyle w:val="Heading3"/>
      </w:pPr>
      <w:r>
        <w:t xml:space="preserve">3.1. Scope 1 Emissions (Direct Emissions)</w:t>
      </w:r>
    </w:p>
    <w:p>
      <w:pPr>
        <w:pStyle w:val="FirstParagraph"/>
      </w:pPr>
      <w:r>
        <w:t xml:space="preserve">For this product-level PCF, Scope 1 emissions represent direct GHG emissions from sources owned or controlled by qddmtxlwtk specifically for the manufacturing of fiifxiyjpn. Assuming the manufacturing process itself does not involve significant direct fuel combustion on-site or process emissions beyond what is embedded in purchased energy or materials, direct Scope 1 emissions are considered negligible for the \'factory_gate\' boundary in this PCF. Any such emissions would typically be allocated to Scope 2 (purchased energy) or Scope 3 (outsourced manufacturing processes).</w:t>
      </w:r>
    </w:p>
    <w:p>
      <w:pPr>
        <w:pStyle w:val="BodyText"/>
      </w:pPr>
      <w:r>
        <w:rPr>
          <w:bCs/>
          <w:b/>
        </w:rPr>
        <w:t xml:space="preserve">Total Scope 1 Emissions: 0.00 kg CO2e</w:t>
      </w:r>
    </w:p>
    <w:bookmarkEnd w:id="36"/>
    <w:bookmarkStart w:id="37" w:name="scope-2-emissions-purchased-energy"/>
    <w:p>
      <w:pPr>
        <w:pStyle w:val="Heading3"/>
      </w:pPr>
      <w:r>
        <w:t xml:space="preserve">3.2. Scope 2 Emissions (Purchased Energy)</w:t>
      </w:r>
    </w:p>
    <w:p>
      <w:pPr>
        <w:pStyle w:val="FirstParagraph"/>
      </w:pPr>
      <w:r>
        <w:t xml:space="preserve">Scope 2 emissions account for GHG emissions from the generation of purchased electricity consumed during the manufacturing of fiifxiyjpn.</w:t>
      </w:r>
    </w:p>
    <w:p>
      <w:pPr>
        <w:numPr>
          <w:ilvl w:val="0"/>
          <w:numId w:val="1009"/>
        </w:numPr>
        <w:pStyle w:val="Compact"/>
      </w:pPr>
      <w:r>
        <w:t xml:space="preserve">Total Energy Intensity: 15 kWh/unit</w:t>
      </w:r>
    </w:p>
    <w:p>
      <w:pPr>
        <w:numPr>
          <w:ilvl w:val="0"/>
          <w:numId w:val="1009"/>
        </w:numPr>
        <w:pStyle w:val="Compact"/>
      </w:pPr>
      <w:r>
        <w:t xml:space="preserve">Renewable Energy Usage: 50%</w:t>
      </w:r>
    </w:p>
    <w:p>
      <w:pPr>
        <w:numPr>
          <w:ilvl w:val="0"/>
          <w:numId w:val="1009"/>
        </w:numPr>
        <w:pStyle w:val="Compact"/>
      </w:pPr>
      <w:r>
        <w:t xml:space="preserve">Non-Renewable Energy: 15 kWh/unit * (1 - 0.50) = 7.5 kWh/unit</w:t>
      </w:r>
    </w:p>
    <w:p>
      <w:pPr>
        <w:numPr>
          <w:ilvl w:val="0"/>
          <w:numId w:val="1009"/>
        </w:numPr>
        <w:pStyle w:val="Compact"/>
      </w:pPr>
      <w:r>
        <w:t xml:space="preserve">China Grid Emission Factor (Illustrative): 0.6 kg CO2e/kWh</w:t>
      </w:r>
    </w:p>
    <w:p>
      <w:pPr>
        <w:pStyle w:val="FirstParagraph"/>
      </w:pPr>
      <w:r>
        <w:t xml:space="preserve">Calculation: 7.5 kWh/unit * 0.6 kg CO2e/kWh = 4.50 kg CO2e</w:t>
      </w:r>
    </w:p>
    <w:p>
      <w:pPr>
        <w:pStyle w:val="BodyText"/>
      </w:pPr>
      <w:r>
        <w:rPr>
          <w:bCs/>
          <w:b/>
        </w:rPr>
        <w:t xml:space="preserve">Total Scope 2 Emissions: 4.50 kg CO2e</w:t>
      </w:r>
    </w:p>
    <w:bookmarkEnd w:id="37"/>
    <w:bookmarkStart w:id="43" w:name="scope-3-emissions-value-chain-emissions"/>
    <w:p>
      <w:pPr>
        <w:pStyle w:val="Heading3"/>
      </w:pPr>
      <w:r>
        <w:t xml:space="preserve">3.3. Scope 3 Emissions (Value Chain Emissions)</w:t>
      </w:r>
    </w:p>
    <w:p>
      <w:pPr>
        <w:pStyle w:val="FirstParagraph"/>
      </w:pPr>
      <w:r>
        <w:t xml:space="preserve">Scope 3 emissions constitute the largest portion of a product\'s carbon footprint, covering all indirect emissions throughout the value chain. This analysis ensures comprehensive coverage, aiming for at least 95% of relevant Scope 3 emissions as per 2026 GHG Protocol requirements.</w:t>
      </w:r>
    </w:p>
    <w:bookmarkStart w:id="38" w:name="X6b4bede62eec6fea496134e3f9fa1b231ac088b"/>
    <w:p>
      <w:pPr>
        <w:pStyle w:val="Heading4"/>
      </w:pPr>
      <w:r>
        <w:t xml:space="preserve">3.3.1. Category 1: Purchased Goods and Services (Raw Materials)</w:t>
      </w:r>
    </w:p>
    <w:p>
      <w:pPr>
        <w:pStyle w:val="FirstParagraph"/>
      </w:pPr>
      <w:r>
        <w:t xml:space="preserve">Emissions from the extraction, production, and transportation of raw materials and components used in fiifxiyjpn.</w:t>
      </w:r>
    </w:p>
    <w:p>
      <w:pPr>
        <w:pStyle w:val="BodyText"/>
      </w:pPr>
      <w:r>
        <w:t xml:space="preserve">Based on the Illustrative BOM:</w:t>
      </w:r>
    </w:p>
    <w:p>
      <w:pPr>
        <w:numPr>
          <w:ilvl w:val="0"/>
          <w:numId w:val="1010"/>
        </w:numPr>
        <w:pStyle w:val="Compact"/>
      </w:pPr>
      <w:r>
        <w:t xml:space="preserve">Aluminum Casing: 5.00 kg CO2e</w:t>
      </w:r>
    </w:p>
    <w:p>
      <w:pPr>
        <w:numPr>
          <w:ilvl w:val="0"/>
          <w:numId w:val="1010"/>
        </w:numPr>
        <w:pStyle w:val="Compact"/>
      </w:pPr>
      <w:r>
        <w:t xml:space="preserve">ABS Plastic Components: 0.90 kg CO2e</w:t>
      </w:r>
    </w:p>
    <w:p>
      <w:pPr>
        <w:numPr>
          <w:ilvl w:val="0"/>
          <w:numId w:val="1010"/>
        </w:numPr>
        <w:pStyle w:val="Compact"/>
      </w:pPr>
      <w:r>
        <w:t xml:space="preserve">PCB with Integrated Circuits: 5.00 kg CO2e</w:t>
      </w:r>
    </w:p>
    <w:p>
      <w:pPr>
        <w:numPr>
          <w:ilvl w:val="0"/>
          <w:numId w:val="1010"/>
        </w:numPr>
        <w:pStyle w:val="Compact"/>
      </w:pPr>
      <w:r>
        <w:t xml:space="preserve">Copper Wiring: 0.13 kg CO2e</w:t>
      </w:r>
    </w:p>
    <w:p>
      <w:pPr>
        <w:numPr>
          <w:ilvl w:val="0"/>
          <w:numId w:val="1010"/>
        </w:numPr>
        <w:pStyle w:val="Compact"/>
      </w:pPr>
      <w:r>
        <w:t xml:space="preserve">Assembly Adhesives: 0.04 kg CO2e</w:t>
      </w:r>
    </w:p>
    <w:p>
      <w:pPr>
        <w:numPr>
          <w:ilvl w:val="0"/>
          <w:numId w:val="1010"/>
        </w:numPr>
        <w:pStyle w:val="Compact"/>
      </w:pPr>
      <w:r>
        <w:t xml:space="preserve">Lithium-ion Battery: 5.00 kg CO2e</w:t>
      </w:r>
    </w:p>
    <w:p>
      <w:pPr>
        <w:numPr>
          <w:ilvl w:val="0"/>
          <w:numId w:val="1010"/>
        </w:numPr>
        <w:pStyle w:val="Compact"/>
      </w:pPr>
      <w:r>
        <w:t xml:space="preserve">Packaging (Cardboard Box): 0.23 kg CO2e</w:t>
      </w:r>
    </w:p>
    <w:p>
      <w:pPr>
        <w:pStyle w:val="FirstParagraph"/>
      </w:pPr>
      <w:r>
        <w:rPr>
          <w:bCs/>
          <w:b/>
        </w:rPr>
        <w:t xml:space="preserve">Subtotal Category 1 Emissions: 16.30 kg CO2e</w:t>
      </w:r>
    </w:p>
    <w:bookmarkEnd w:id="38"/>
    <w:bookmarkStart w:id="39" w:name="X81feec90b8b7c9bf2c1f14d160bff67351c8b71"/>
    <w:p>
      <w:pPr>
        <w:pStyle w:val="Heading4"/>
      </w:pPr>
      <w:r>
        <w:t xml:space="preserve">3.3.2. Category 4: Upstream Transportation and Distribution (Inbound Logistics)</w:t>
      </w:r>
    </w:p>
    <w:p>
      <w:pPr>
        <w:pStyle w:val="FirstParagraph"/>
      </w:pPr>
      <w:r>
        <w:t xml:space="preserve">Emissions from transporting raw materials and components from European suppliers to the manufacturing facility in China.</w:t>
      </w:r>
    </w:p>
    <w:p>
      <w:pPr>
        <w:numPr>
          <w:ilvl w:val="0"/>
          <w:numId w:val="1011"/>
        </w:numPr>
        <w:pStyle w:val="Compact"/>
      </w:pPr>
      <w:r>
        <w:t xml:space="preserve">Total assumed material weight: (0.5 + 0.3 + 0.1 + 0.05 + 0.01 + 0.2 + 0.15) kg = 1.31 kg</w:t>
      </w:r>
    </w:p>
    <w:p>
      <w:pPr>
        <w:numPr>
          <w:ilvl w:val="0"/>
          <w:numId w:val="1011"/>
        </w:numPr>
        <w:pStyle w:val="Compact"/>
      </w:pPr>
      <w:r>
        <w:t xml:space="preserve">Average Ocean Freight Distance: 15,000 km</w:t>
      </w:r>
    </w:p>
    <w:p>
      <w:pPr>
        <w:numPr>
          <w:ilvl w:val="0"/>
          <w:numId w:val="1011"/>
        </w:numPr>
        <w:pStyle w:val="Compact"/>
      </w:pPr>
      <w:r>
        <w:t xml:space="preserve">Ocean Freight Emission Factor: 0.01 kg CO2e/tonne-km</w:t>
      </w:r>
    </w:p>
    <w:p>
      <w:pPr>
        <w:pStyle w:val="FirstParagraph"/>
      </w:pPr>
      <w:r>
        <w:t xml:space="preserve">Calculation: 1.31 kg * (1 tonne / 1000 kg) * 15,000 km * 0.01 kg CO2e/tonne-km = 0.1965 kg CO2e (approx. 0.20 kg CO2e)</w:t>
      </w:r>
    </w:p>
    <w:p>
      <w:pPr>
        <w:pStyle w:val="BodyText"/>
      </w:pPr>
      <w:r>
        <w:rPr>
          <w:bCs/>
          <w:b/>
        </w:rPr>
        <w:t xml:space="preserve">Subtotal Category 4 Emissions: 0.20 kg CO2e</w:t>
      </w:r>
    </w:p>
    <w:bookmarkEnd w:id="39"/>
    <w:bookmarkStart w:id="40" w:name="Xac18753d387a1b1ccaf30ef3e698bca81864949"/>
    <w:p>
      <w:pPr>
        <w:pStyle w:val="Heading4"/>
      </w:pPr>
      <w:r>
        <w:t xml:space="preserve">3.3.3. Category 9: Downstream Transportation and Distribution (Outbound Logistics)</w:t>
      </w:r>
    </w:p>
    <w:p>
      <w:pPr>
        <w:pStyle w:val="FirstParagraph"/>
      </w:pPr>
      <w:r>
        <w:t xml:space="preserve">Emissions from transporting the finished product from the factory gate to the end-customer in Europe, including last-mile delivery.</w:t>
      </w:r>
    </w:p>
    <w:p>
      <w:pPr>
        <w:numPr>
          <w:ilvl w:val="0"/>
          <w:numId w:val="1012"/>
        </w:numPr>
        <w:pStyle w:val="Compact"/>
      </w:pPr>
      <w:r>
        <w:t xml:space="preserve">Product Weight (Illustrative): 1.5 kg (product + packaging)</w:t>
      </w:r>
    </w:p>
    <w:p>
      <w:pPr>
        <w:numPr>
          <w:ilvl w:val="0"/>
          <w:numId w:val="1012"/>
        </w:numPr>
        <w:pStyle w:val="Compact"/>
      </w:pPr>
      <w:r>
        <w:t xml:space="preserve">Ocean Freight (China to Europe Hub):</w:t>
      </w:r>
    </w:p>
    <w:p>
      <w:pPr>
        <w:numPr>
          <w:ilvl w:val="1"/>
          <w:numId w:val="1013"/>
        </w:numPr>
        <w:pStyle w:val="Compact"/>
      </w:pPr>
      <w:r>
        <w:t xml:space="preserve">Distance: 12,000 km</w:t>
      </w:r>
    </w:p>
    <w:p>
      <w:pPr>
        <w:numPr>
          <w:ilvl w:val="1"/>
          <w:numId w:val="1013"/>
        </w:numPr>
        <w:pStyle w:val="Compact"/>
      </w:pPr>
      <w:r>
        <w:t xml:space="preserve">Emission Factor: 0.01 kg CO2e/tonne-km</w:t>
      </w:r>
    </w:p>
    <w:p>
      <w:pPr>
        <w:numPr>
          <w:ilvl w:val="1"/>
          <w:numId w:val="1013"/>
        </w:numPr>
        <w:pStyle w:val="Compact"/>
      </w:pPr>
      <w:r>
        <w:t xml:space="preserve">Calculation: 1.5 kg * (1 tonne / 1000 kg) * 12,000 km * 0.01 kg CO2e/tonne-km = 0.18 kg CO2e</w:t>
      </w:r>
    </w:p>
    <w:p>
      <w:pPr>
        <w:numPr>
          <w:ilvl w:val="0"/>
          <w:numId w:val="1012"/>
        </w:numPr>
        <w:pStyle w:val="Compact"/>
      </w:pPr>
      <w:r>
        <w:t xml:space="preserve">Last-Mile Delivery (Europe Hub to Customer):</w:t>
      </w:r>
    </w:p>
    <w:p>
      <w:pPr>
        <w:numPr>
          <w:ilvl w:val="1"/>
          <w:numId w:val="1014"/>
        </w:numPr>
        <w:pStyle w:val="Compact"/>
      </w:pPr>
      <w:r>
        <w:t xml:space="preserve">Mode: LCV</w:t>
      </w:r>
    </w:p>
    <w:p>
      <w:pPr>
        <w:numPr>
          <w:ilvl w:val="1"/>
          <w:numId w:val="1014"/>
        </w:numPr>
        <w:pStyle w:val="Compact"/>
      </w:pPr>
      <w:r>
        <w:t xml:space="preserve">Distance: 50 km</w:t>
      </w:r>
    </w:p>
    <w:p>
      <w:pPr>
        <w:numPr>
          <w:ilvl w:val="1"/>
          <w:numId w:val="1014"/>
        </w:numPr>
        <w:pStyle w:val="Compact"/>
      </w:pPr>
      <w:r>
        <w:t xml:space="preserve">Emission Factor (LCV, per unit): 0.2 kg CO2e/vehicle-km * 1 unit = 0.2 kg CO2e</w:t>
      </w:r>
    </w:p>
    <w:p>
      <w:pPr>
        <w:pStyle w:val="FirstParagraph"/>
      </w:pPr>
      <w:r>
        <w:rPr>
          <w:bCs/>
          <w:b/>
        </w:rPr>
        <w:t xml:space="preserve">Subtotal Category 9 Emissions: 0.18 kg CO2e (Ocean) + 0.20 kg CO2e (Last-Mile) = 0.38 kg CO2e</w:t>
      </w:r>
    </w:p>
    <w:bookmarkEnd w:id="40"/>
    <w:bookmarkStart w:id="41" w:name="category-11-use-of-sold-products"/>
    <w:p>
      <w:pPr>
        <w:pStyle w:val="Heading4"/>
      </w:pPr>
      <w:r>
        <w:t xml:space="preserve">3.3.4. Category 11: Use of Sold Products</w:t>
      </w:r>
    </w:p>
    <w:p>
      <w:pPr>
        <w:pStyle w:val="FirstParagraph"/>
      </w:pPr>
      <w:r>
        <w:t xml:space="preserve">Emissions from the energy consumed by the product during its functional lifespan.</w:t>
      </w:r>
    </w:p>
    <w:p>
      <w:pPr>
        <w:numPr>
          <w:ilvl w:val="0"/>
          <w:numId w:val="1015"/>
        </w:numPr>
        <w:pStyle w:val="Compact"/>
      </w:pPr>
      <w:r>
        <w:t xml:space="preserve">Product Lifespan: 5 years</w:t>
      </w:r>
    </w:p>
    <w:p>
      <w:pPr>
        <w:numPr>
          <w:ilvl w:val="0"/>
          <w:numId w:val="1015"/>
        </w:numPr>
        <w:pStyle w:val="Compact"/>
      </w:pPr>
      <w:r>
        <w:t xml:space="preserve">Annual Energy Consumption: 20 kWh/year</w:t>
      </w:r>
    </w:p>
    <w:p>
      <w:pPr>
        <w:numPr>
          <w:ilvl w:val="0"/>
          <w:numId w:val="1015"/>
        </w:numPr>
        <w:pStyle w:val="Compact"/>
      </w:pPr>
      <w:r>
        <w:t xml:space="preserve">European Grid Emission Factor (Illustrative): 0.25 kg CO2e/kWh</w:t>
      </w:r>
    </w:p>
    <w:p>
      <w:pPr>
        <w:pStyle w:val="FirstParagraph"/>
      </w:pPr>
      <w:r>
        <w:t xml:space="preserve">Calculation: 5 years * 20 kWh/year * 0.25 kg CO2e/kWh = 25.00 kg CO2e</w:t>
      </w:r>
    </w:p>
    <w:p>
      <w:pPr>
        <w:pStyle w:val="BodyText"/>
      </w:pPr>
      <w:r>
        <w:rPr>
          <w:bCs/>
          <w:b/>
        </w:rPr>
        <w:t xml:space="preserve">Subtotal Category 11 Emissions: 25.00 kg CO2e</w:t>
      </w:r>
    </w:p>
    <w:bookmarkEnd w:id="41"/>
    <w:bookmarkStart w:id="42" w:name="X9f66eef2700632e081dfe139021cb724ffcd2c5"/>
    <w:p>
      <w:pPr>
        <w:pStyle w:val="Heading4"/>
      </w:pPr>
      <w:r>
        <w:t xml:space="preserve">3.3.5. Category 12: End-of-Life Treatment of Sold Products</w:t>
      </w:r>
    </w:p>
    <w:p>
      <w:pPr>
        <w:pStyle w:val="FirstParagraph"/>
      </w:pPr>
      <w:r>
        <w:t xml:space="preserve">Emissions associated with the disposal and recycling of the product at the end of its life.</w:t>
      </w:r>
    </w:p>
    <w:p>
      <w:pPr>
        <w:numPr>
          <w:ilvl w:val="0"/>
          <w:numId w:val="1016"/>
        </w:numPr>
        <w:pStyle w:val="Compact"/>
      </w:pPr>
      <w:r>
        <w:t xml:space="preserve">Product Weight at EoL (Illustrative): 1.5 kg (assuming all components are part of waste stream)</w:t>
      </w:r>
    </w:p>
    <w:p>
      <w:pPr>
        <w:numPr>
          <w:ilvl w:val="0"/>
          <w:numId w:val="1016"/>
        </w:numPr>
        <w:pStyle w:val="Compact"/>
      </w:pPr>
      <w:r>
        <w:t xml:space="preserve">Recyclability Percentage: 70%</w:t>
      </w:r>
    </w:p>
    <w:p>
      <w:pPr>
        <w:numPr>
          <w:ilvl w:val="0"/>
          <w:numId w:val="1016"/>
        </w:numPr>
        <w:pStyle w:val="Compact"/>
      </w:pPr>
      <w:r>
        <w:t xml:space="preserve">Circular/Take-back Programs: Yes, 5% additional reduction (total effective recycling 75%)</w:t>
      </w:r>
    </w:p>
    <w:p>
      <w:pPr>
        <w:numPr>
          <w:ilvl w:val="0"/>
          <w:numId w:val="1016"/>
        </w:numPr>
        <w:pStyle w:val="Compact"/>
      </w:pPr>
      <w:r>
        <w:t xml:space="preserve">Non-recycled portion: 1.5 kg * (1 - 0.75) = 0.375 kg</w:t>
      </w:r>
    </w:p>
    <w:p>
      <w:pPr>
        <w:numPr>
          <w:ilvl w:val="0"/>
          <w:numId w:val="1016"/>
        </w:numPr>
        <w:pStyle w:val="Compact"/>
      </w:pPr>
      <w:r>
        <w:t xml:space="preserve">Disposal Emission Factor (Illustrative for non-recycled): 0.5 kg CO2e/kg (e.g., landfill/incineration)</w:t>
      </w:r>
    </w:p>
    <w:p>
      <w:pPr>
        <w:numPr>
          <w:ilvl w:val="0"/>
          <w:numId w:val="1016"/>
        </w:numPr>
        <w:pStyle w:val="Compact"/>
      </w:pPr>
      <w:r>
        <w:t xml:space="preserve">Avoided emissions from recycling (simplified, implicit in reduction of disposal): The 75% recycling/take-back rate means only 25% goes to typical disposal.</w:t>
      </w:r>
    </w:p>
    <w:p>
      <w:pPr>
        <w:pStyle w:val="FirstParagraph"/>
      </w:pPr>
      <w:r>
        <w:t xml:space="preserve">Calculation: 0.375 kg * 0.5 kg CO2e/kg = 0.1875 kg CO2e (approx. 0.19 kg CO2e)</w:t>
      </w:r>
    </w:p>
    <w:p>
      <w:pPr>
        <w:pStyle w:val="BodyText"/>
      </w:pPr>
      <w:r>
        <w:rPr>
          <w:bCs/>
          <w:b/>
        </w:rPr>
        <w:t xml:space="preserve">Subtotal Category 12 Emissions: 0.19 kg CO2e</w:t>
      </w:r>
    </w:p>
    <w:bookmarkEnd w:id="42"/>
    <w:bookmarkEnd w:id="43"/>
    <w:bookmarkStart w:id="45" w:name="X94e4755688128ea3b5793b95277d5b9a5cb2ef1"/>
    <w:p>
      <w:pPr>
        <w:pStyle w:val="Heading3"/>
      </w:pPr>
      <w:r>
        <w:t xml:space="preserve">3.4. Total Product Carbon Footprint (Cradle-to-Grave)</w:t>
      </w:r>
    </w:p>
    <w:p>
      <w:pPr>
        <w:pStyle w:val="FirstParagraph"/>
      </w:pPr>
      <w:r>
        <w:t xml:space="preserve">Summation of all calculated emissions:</w:t>
      </w:r>
    </w:p>
    <w:p>
      <w:pPr>
        <w:pStyle w:val="BodyText"/>
      </w:pPr>
      <w:r>
        <w:rPr>
          <w:bCs/>
          <w:b/>
        </w:rPr>
        <w:t xml:space="preserve">Total PCF (kg CO2e) = Scope 1 + Scope 2 + Scope 3 (Categories 1 + 4 + 9 + 11 + 12)</w:t>
      </w:r>
    </w:p>
    <w:p>
      <w:pPr>
        <w:pStyle w:val="BodyText"/>
      </w:pPr>
      <w:r>
        <w:t xml:space="preserve">Total PCF = 0.00 (Scope 1) + 4.50 (Scope 2) + 16.30 (Scope 3, Cat 1) + 0.20 (Scope 3, Cat 4) + 0.38 (Scope 3, Cat 9) + 25.00 (Scope 3, Cat 11) + 0.19 (Scope 3, Cat 12)</w:t>
      </w:r>
    </w:p>
    <w:p>
      <w:pPr>
        <w:pStyle w:val="BodyText"/>
      </w:pPr>
      <w:r>
        <w:rPr>
          <w:bCs/>
          <w:b/>
        </w:rPr>
        <w:t xml:space="preserve">Total Product Carbon Footprint for fiifxiyjpn: 46.57 kg CO2e per unit</w:t>
      </w:r>
    </w:p>
    <w:bookmarkStart w:id="44" w:name="Xf6fac3ccbedfcb553bf1ab9d001eea498ce30f3"/>
    <w:p>
      <w:pPr>
        <w:pStyle w:val="Heading4"/>
      </w:pPr>
      <w:r>
        <w:t xml:space="preserve">3.4.1. Summary of Emissions by Scope and Category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Direct operations of qddmtxlwtk (negligible for PCF)</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consumption during manufacturing</w:t>
            </w:r>
          </w:p>
        </w:tc>
        <w:tc>
          <w:tcPr/>
          <w:p>
            <w:pPr>
              <w:pStyle w:val="Compact"/>
              <w:jc w:val="left"/>
            </w:pPr>
            <w:r>
              <w:t xml:space="preserve">4.50</w:t>
            </w:r>
          </w:p>
        </w:tc>
        <w:tc>
          <w:tcPr/>
          <w:p>
            <w:pPr>
              <w:pStyle w:val="Compact"/>
              <w:jc w:val="left"/>
            </w:pPr>
            <w:r>
              <w:t xml:space="preserve">9.66%</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&amp; Services (Raw Materials)</w:t>
            </w:r>
          </w:p>
        </w:tc>
        <w:tc>
          <w:tcPr/>
          <w:p>
            <w:pPr>
              <w:pStyle w:val="Compact"/>
              <w:jc w:val="left"/>
            </w:pPr>
            <w:r>
              <w:t xml:space="preserve">16.30</w:t>
            </w:r>
          </w:p>
        </w:tc>
        <w:tc>
          <w:tcPr/>
          <w:p>
            <w:pPr>
              <w:pStyle w:val="Compact"/>
              <w:jc w:val="left"/>
            </w:pPr>
            <w:r>
              <w:t xml:space="preserve">35.00%</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 &amp; Distribution</w:t>
            </w:r>
          </w:p>
        </w:tc>
        <w:tc>
          <w:tcPr/>
          <w:p>
            <w:pPr>
              <w:pStyle w:val="Compact"/>
              <w:jc w:val="left"/>
            </w:pPr>
            <w:r>
              <w:t xml:space="preserve">0.20</w:t>
            </w:r>
          </w:p>
        </w:tc>
        <w:tc>
          <w:tcPr/>
          <w:p>
            <w:pPr>
              <w:pStyle w:val="Compact"/>
              <w:jc w:val="left"/>
            </w:pPr>
            <w:r>
              <w:t xml:space="preserve">0.43%</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 &amp; Distribution</w:t>
            </w:r>
          </w:p>
        </w:tc>
        <w:tc>
          <w:tcPr/>
          <w:p>
            <w:pPr>
              <w:pStyle w:val="Compact"/>
              <w:jc w:val="left"/>
            </w:pPr>
            <w:r>
              <w:t xml:space="preserve">0.38</w:t>
            </w:r>
          </w:p>
        </w:tc>
        <w:tc>
          <w:tcPr/>
          <w:p>
            <w:pPr>
              <w:pStyle w:val="Compact"/>
              <w:jc w:val="left"/>
            </w:pPr>
            <w:r>
              <w:t xml:space="preserve">0.82%</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25.00</w:t>
            </w:r>
          </w:p>
        </w:tc>
        <w:tc>
          <w:tcPr/>
          <w:p>
            <w:pPr>
              <w:pStyle w:val="Compact"/>
              <w:jc w:val="left"/>
            </w:pPr>
            <w:r>
              <w:t xml:space="preserve">53.69%</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0.19</w:t>
            </w:r>
          </w:p>
        </w:tc>
        <w:tc>
          <w:tcPr/>
          <w:p>
            <w:pPr>
              <w:pStyle w:val="Compact"/>
              <w:jc w:val="left"/>
            </w:pPr>
            <w:r>
              <w:t xml:space="preserve">0.41%</w:t>
            </w:r>
          </w:p>
        </w:tc>
      </w:tr>
      <w:tr>
        <w:tc>
          <w:tcPr>
            <w:gridSpan w:val="3"/>
          </w:tcPr>
          <w:p>
            <w:pPr>
              <w:pStyle w:val="Compact"/>
              <w:jc w:val="left"/>
            </w:pPr>
            <w:r>
              <w:rPr>
                <w:bCs/>
                <w:b/>
              </w:rPr>
              <w:t xml:space="preserve">TOTAL PRODUCT CARBON FOOTPRINT (Cradle-to-Grave)</w:t>
            </w:r>
          </w:p>
        </w:tc>
        <w:tc>
          <w:tcPr/>
          <w:p>
            <w:pPr>
              <w:pStyle w:val="Compact"/>
              <w:jc w:val="left"/>
            </w:pPr>
            <w:r>
              <w:rPr>
                <w:bCs/>
                <w:b/>
              </w:rPr>
              <w:t xml:space="preserve">46.57</w:t>
            </w:r>
          </w:p>
        </w:tc>
        <w:tc>
          <w:tcPr/>
          <w:p>
            <w:pPr>
              <w:pStyle w:val="Compact"/>
              <w:jc w:val="left"/>
            </w:pPr>
            <w:r>
              <w:rPr>
                <w:bCs/>
                <w:b/>
              </w:rPr>
              <w:t xml:space="preserve">100.00%</w:t>
            </w:r>
          </w:p>
        </w:tc>
      </w:tr>
    </w:tbl>
    <w:p>
      <w:r>
        <w:pict>
          <v:rect style="width:0;height:1.5pt" o:hralign="center" o:hrstd="t" o:hr="t"/>
        </w:pict>
      </w:r>
    </w:p>
    <w:bookmarkEnd w:id="44"/>
    <w:bookmarkEnd w:id="45"/>
    <w:bookmarkEnd w:id="46"/>
    <w:bookmarkStart w:id="50" w:name="X26295a112c9bc2ab5a42b3a4866845f69c4357a"/>
    <w:p>
      <w:pPr>
        <w:pStyle w:val="Heading2"/>
      </w:pPr>
      <w:r>
        <w:t xml:space="preserve">4. Review &amp; Reporting: Hotspots and Reliability</w:t>
      </w:r>
    </w:p>
    <w:bookmarkStart w:id="47" w:name="emission-hotspots"/>
    <w:p>
      <w:pPr>
        <w:pStyle w:val="Heading3"/>
      </w:pPr>
      <w:r>
        <w:t xml:space="preserve">4.1. Emission Hotspots</w:t>
      </w:r>
    </w:p>
    <w:p>
      <w:pPr>
        <w:pStyle w:val="FirstParagraph"/>
      </w:pPr>
      <w:r>
        <w:t xml:space="preserve">The analysis reveals the following key emission hotspots for fiifxiyjpn:</w:t>
      </w:r>
    </w:p>
    <w:p>
      <w:pPr>
        <w:numPr>
          <w:ilvl w:val="0"/>
          <w:numId w:val="1017"/>
        </w:numPr>
        <w:pStyle w:val="Compact"/>
      </w:pPr>
      <w:r>
        <w:rPr>
          <w:bCs/>
          <w:b/>
        </w:rPr>
        <w:t xml:space="preserve">Use Phase (Category 11):</w:t>
      </w:r>
      <w:r>
        <w:t xml:space="preserve"> </w:t>
      </w:r>
      <w:r>
        <w:t xml:space="preserve">At 53.69% of the total PCF, the energy consumption during the product\'s 5-year lifespan is by far the largest contributor. This highlights the critical importance of energy efficiency in product design and consumer energy choices.</w:t>
      </w:r>
    </w:p>
    <w:p>
      <w:pPr>
        <w:numPr>
          <w:ilvl w:val="0"/>
          <w:numId w:val="1017"/>
        </w:numPr>
        <w:pStyle w:val="Compact"/>
      </w:pPr>
      <w:r>
        <w:rPr>
          <w:bCs/>
          <w:b/>
        </w:rPr>
        <w:t xml:space="preserve">Raw Materials (Category 1):</w:t>
      </w:r>
      <w:r>
        <w:t xml:space="preserve"> </w:t>
      </w:r>
      <w:r>
        <w:t xml:space="preserve">Constituting 35.00% of the PCF, the production of purchased goods and services, particularly components like aluminum, electronic circuits, and the lithium-ion battery, is a significant hotspot. Focus on sustainable sourcing, material light-weighting, and the use of recycled content can yield substantial reductions.</w:t>
      </w:r>
    </w:p>
    <w:p>
      <w:pPr>
        <w:numPr>
          <w:ilvl w:val="0"/>
          <w:numId w:val="1017"/>
        </w:numPr>
        <w:pStyle w:val="Compact"/>
      </w:pPr>
      <w:r>
        <w:rPr>
          <w:bCs/>
          <w:b/>
        </w:rPr>
        <w:t xml:space="preserve">Manufacturing (Scope 2):</w:t>
      </w:r>
      <w:r>
        <w:t xml:space="preserve"> </w:t>
      </w:r>
      <w:r>
        <w:t xml:space="preserve">The purchased electricity for manufacturing contributes 9.66%, indicating that increasing renewable energy adoption at production facilities is crucial. qddmtxlwtk\'s assumed 50% renewable energy usage already mitigates a substantial portion of these emissions; further increases would be beneficial.</w:t>
      </w:r>
    </w:p>
    <w:bookmarkEnd w:id="47"/>
    <w:bookmarkStart w:id="48" w:name="data-reliability-and-limitations"/>
    <w:p>
      <w:pPr>
        <w:pStyle w:val="Heading3"/>
      </w:pPr>
      <w:r>
        <w:t xml:space="preserve">4.2. Data Reliability and Limitations</w:t>
      </w:r>
    </w:p>
    <w:p>
      <w:pPr>
        <w:pStyle w:val="FirstParagraph"/>
      </w:pPr>
      <w:r>
        <w:t xml:space="preserve">The reliability of this PCF relies on the quality of input data. While the methodology adheres to GHG Protocol standards, certain limitations exist due to the use of placeholder data:</w:t>
      </w:r>
    </w:p>
    <w:p>
      <w:pPr>
        <w:numPr>
          <w:ilvl w:val="0"/>
          <w:numId w:val="1018"/>
        </w:numPr>
        <w:pStyle w:val="Compact"/>
      </w:pPr>
      <w:r>
        <w:rPr>
          <w:bCs/>
          <w:b/>
        </w:rPr>
        <w:t xml:space="preserve">Illustrative Data:</w:t>
      </w:r>
      <w:r>
        <w:t xml:space="preserve"> </w:t>
      </w:r>
      <w:r>
        <w:t xml:space="preserve">For the Bill of Materials, transport modes/distances, energy intensity, and EoL scenarios, illustrative data and simplified industry-average emission factors (e.g., Ecoinvent, DEFRA) were used as actual data for placeholders \'prefgwkx\', \'Select Mode\', etc., were not provided. Using primary, supplier-specific data would significantly enhance accuracy.</w:t>
      </w:r>
    </w:p>
    <w:p>
      <w:pPr>
        <w:numPr>
          <w:ilvl w:val="0"/>
          <w:numId w:val="1018"/>
        </w:numPr>
        <w:pStyle w:val="Compact"/>
      </w:pPr>
      <w:r>
        <w:rPr>
          <w:bCs/>
          <w:b/>
        </w:rPr>
        <w:t xml:space="preserve">System Boundary Interpretation:</w:t>
      </w:r>
      <w:r>
        <w:t xml:space="preserve"> </w:t>
      </w:r>
      <w:r>
        <w:t xml:space="preserve">The adoption of a \'cradle-to-grave\' boundary, while comprehensive, deviates from the explicit \'factory_gate\' parameter. This choice was made to accommodate other detailed parameters, and it is crucial for qddmtxlwtk to consider if the scope aligns with their internal or external reporting objectives.</w:t>
      </w:r>
    </w:p>
    <w:p>
      <w:pPr>
        <w:numPr>
          <w:ilvl w:val="0"/>
          <w:numId w:val="1018"/>
        </w:numPr>
        <w:pStyle w:val="Compact"/>
      </w:pPr>
      <w:r>
        <w:rPr>
          <w:bCs/>
          <w:b/>
        </w:rPr>
        <w:t xml:space="preserve">LSR Standard Application:</w:t>
      </w:r>
      <w:r>
        <w:t xml:space="preserve"> </w:t>
      </w:r>
      <w:r>
        <w:t xml:space="preserve">The 2026 Land Sector and Removals Standard, while acknowledged, requires detailed tracing of raw materials\' land-use impacts. Without specific data on agricultural or forestry-derived materials, its full quantitative application is limited in this illustrative analysis.</w:t>
      </w:r>
    </w:p>
    <w:p>
      <w:pPr>
        <w:numPr>
          <w:ilvl w:val="0"/>
          <w:numId w:val="1018"/>
        </w:numPr>
        <w:pStyle w:val="Compact"/>
      </w:pPr>
      <w:r>
        <w:rPr>
          <w:bCs/>
          <w:b/>
        </w:rPr>
        <w:t xml:space="preserve">Scope 3 Coverage:</w:t>
      </w:r>
      <w:r>
        <w:t xml:space="preserve"> </w:t>
      </w:r>
      <w:r>
        <w:t xml:space="preserve">While targeting 95% Scope 3 coverage, the actual attainment would depend on rigorous data collection across all 15 (or 16 with Category 16 for 2026 revisions) categories, including minor sources. The illustrative nature of this report means this is a methodological adherence rather than a fully verified outcome.</w:t>
      </w:r>
    </w:p>
    <w:bookmarkEnd w:id="48"/>
    <w:bookmarkStart w:id="49" w:name="recommendations"/>
    <w:p>
      <w:pPr>
        <w:pStyle w:val="Heading3"/>
      </w:pPr>
      <w:r>
        <w:t xml:space="preserve">4.3. Recommendations</w:t>
      </w:r>
    </w:p>
    <w:p>
      <w:pPr>
        <w:pStyle w:val="FirstParagraph"/>
      </w:pPr>
      <w:r>
        <w:t xml:space="preserve">Based on this PCF analysis, qddmtxlwtk should consider the following actions to reduce the carbon footprint of fiifxiyjpn:</w:t>
      </w:r>
    </w:p>
    <w:p>
      <w:pPr>
        <w:numPr>
          <w:ilvl w:val="0"/>
          <w:numId w:val="1019"/>
        </w:numPr>
        <w:pStyle w:val="Compact"/>
      </w:pPr>
      <w:r>
        <w:rPr>
          <w:bCs/>
          <w:b/>
        </w:rPr>
        <w:t xml:space="preserve">Optimize Use Phase Efficiency:</w:t>
      </w:r>
      <w:r>
        <w:t xml:space="preserve"> </w:t>
      </w:r>
      <w:r>
        <w:t xml:space="preserve">Invest in R&amp;D to significantly improve the energy efficiency of fiifxiyjpn during its operational life, as this is the dominant emission hotspot.</w:t>
      </w:r>
    </w:p>
    <w:p>
      <w:pPr>
        <w:numPr>
          <w:ilvl w:val="0"/>
          <w:numId w:val="1019"/>
        </w:numPr>
        <w:pStyle w:val="Compact"/>
      </w:pPr>
      <w:r>
        <w:rPr>
          <w:bCs/>
          <w:b/>
        </w:rPr>
        <w:t xml:space="preserve">Sustainable Material Sourcing:</w:t>
      </w:r>
      <w:r>
        <w:t xml:space="preserve"> </w:t>
      </w:r>
      <w:r>
        <w:t xml:space="preserve">Prioritize sourcing of low-carbon materials, including recycled content (e.g., recycled aluminum, post-consumer plastics) and materials with lower embedded emissions, especially for high-impact components like batteries and electronics.</w:t>
      </w:r>
    </w:p>
    <w:p>
      <w:pPr>
        <w:numPr>
          <w:ilvl w:val="0"/>
          <w:numId w:val="1019"/>
        </w:numPr>
        <w:pStyle w:val="Compact"/>
      </w:pPr>
      <w:r>
        <w:rPr>
          <w:bCs/>
          <w:b/>
        </w:rPr>
        <w:t xml:space="preserve">Increase Renewable Energy in Manufacturing:</w:t>
      </w:r>
      <w:r>
        <w:t xml:space="preserve"> </w:t>
      </w:r>
      <w:r>
        <w:t xml:space="preserve">Further increase the share of renewable electricity used in manufacturing facilities beyond the current 50% to minimize Scope 2 emissions.</w:t>
      </w:r>
    </w:p>
    <w:p>
      <w:pPr>
        <w:numPr>
          <w:ilvl w:val="0"/>
          <w:numId w:val="1019"/>
        </w:numPr>
        <w:pStyle w:val="Compact"/>
      </w:pPr>
      <w:r>
        <w:rPr>
          <w:bCs/>
          <w:b/>
        </w:rPr>
        <w:t xml:space="preserve">Enhance Circularity:</w:t>
      </w:r>
      <w:r>
        <w:t xml:space="preserve"> </w:t>
      </w:r>
      <w:r>
        <w:t xml:space="preserve">Strengthen circular and take-back programs to maximize material recovery and recycling rates at End-of-Life, reducing reliance on virgin materials and minimizing waste disposal impacts.</w:t>
      </w:r>
    </w:p>
    <w:p>
      <w:pPr>
        <w:numPr>
          <w:ilvl w:val="0"/>
          <w:numId w:val="1019"/>
        </w:numPr>
        <w:pStyle w:val="Compact"/>
      </w:pPr>
      <w:r>
        <w:rPr>
          <w:bCs/>
          <w:b/>
        </w:rPr>
        <w:t xml:space="preserve">Engage Supply Chain:</w:t>
      </w:r>
      <w:r>
        <w:t xml:space="preserve"> </w:t>
      </w:r>
      <w:r>
        <w:t xml:space="preserve">Collaborate with suppliers to collect primary data on material production and upstream transportation, and encourage their emission reduction efforts.</w:t>
      </w:r>
    </w:p>
    <w:p>
      <w:pPr>
        <w:numPr>
          <w:ilvl w:val="0"/>
          <w:numId w:val="1019"/>
        </w:numPr>
        <w:pStyle w:val="Compact"/>
      </w:pPr>
      <w:r>
        <w:rPr>
          <w:bCs/>
          <w:b/>
        </w:rPr>
        <w:t xml:space="preserve">Refine Data Collection:</w:t>
      </w:r>
      <w:r>
        <w:t xml:space="preserve"> </w:t>
      </w:r>
      <w:r>
        <w:t xml:space="preserve">Implement robust systems for collecting primary activity data across the entire value chain to improve the accuracy and defensibility of future PCF calculations and ensure full compliance with evolving GHG Protocol requirements, especially for Scope 3.</w:t>
      </w:r>
    </w:p>
    <w:p>
      <w:r>
        <w:pict>
          <v:rect style="width:0;height:1.5pt" o:hralign="center" o:hrstd="t" o:hr="t"/>
        </w:pict>
      </w:r>
    </w:p>
    <w:bookmarkEnd w:id="49"/>
    <w:bookmarkEnd w:id="50"/>
    <w:p>
      <w:pPr>
        <w:pStyle w:val="FirstParagraph"/>
      </w:pPr>
      <w:r>
        <w:t xml:space="preserve">Confidential - Internal Use Only</w:t>
      </w:r>
    </w:p>
    <w:p>
      <w:pPr>
        <w:pStyle w:val="BodyText"/>
      </w:pPr>
      <w:r>
        <w:t xml:space="preserve">Page</w:t>
      </w:r>
      <w:r>
        <w:t xml:space="preserve"> </w:t>
      </w:r>
      <w:bookmarkStart w:id="51" w:name="pageNumber"/>
      <w:bookmarkEnd w:id="51"/>
      <w:r>
        <w:t xml:space="preserve"> </w:t>
      </w:r>
      <w:r>
        <w:t xml:space="preserve">of</w:t>
      </w:r>
      <w:r>
        <w:t xml:space="preserve"> </w:t>
      </w:r>
      <w:bookmarkStart w:id="52" w:name="totalPages"/>
      <w:bookmarkEnd w:id="52"/>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fiifxiyjpn - qddmtxlwtk</dc:title>
  <dc:creator/>
  <dc:description>Detailed Product Carbon Footprint (PCF) analysis report for product fiifxiyjpn, adhering to GHG Protocol standards and 2026 updates, for company qddmtxlwtk.</dc:description>
  <dc:language>en</dc:language>
  <cp:keywords/>
  <dcterms:created xsi:type="dcterms:W3CDTF">2026-07-15T11:42:19Z</dcterms:created>
  <dcterms:modified xsi:type="dcterms:W3CDTF">2026-07-15T11:42:19Z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