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fewvoenuux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fewvoenuux</w:t>
      </w:r>
    </w:p>
    <w:p>
      <w:pPr>
        <w:pStyle w:val="BodyText"/>
      </w:pPr>
      <w:r>
        <w:rPr>
          <w:bCs/>
          <w:b/>
        </w:rPr>
        <w:t xml:space="preserve">Company Name:</w:t>
      </w:r>
      <w:r>
        <w:t xml:space="preserve"> </w:t>
      </w:r>
      <w:r>
        <w:t xml:space="preserve">mxlffepqks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howhjyhrkj</w:t>
      </w:r>
    </w:p>
    <w:p>
      <w:pPr>
        <w:pStyle w:val="BodyText"/>
      </w:pPr>
      <w:r>
        <w:rPr>
          <w:iCs/>
          <w:i/>
        </w:rPr>
        <w:t xml:space="preserve">Disclaimer: This report is generated based on available data and industry standards. Numerical values for parameters provided as strings have been replaced with illustrative figures for calculation purposes, with the original strings explicitly mentioned. A real-world analysis would integrate precise, verified data for these parameters.</w:t>
      </w:r>
    </w:p>
    <w:bookmarkEnd w:id="20"/>
    <w:p>
      <w:r>
        <w:pict>
          <v:rect style="width:0;height:1.5pt" o:hralign="center" o:hrstd="t" o:hr="t"/>
        </w:pict>
      </w:r>
    </w:p>
    <w:bookmarkStart w:id="47" w:name="X2a75d59f60a97eac3880110afc6e86cdd7df751"/>
    <w:p>
      <w:pPr>
        <w:pStyle w:val="Heading1"/>
      </w:pPr>
      <w:r>
        <w:t xml:space="preserve">Product Carbon Footprint Analysis for fewvoenuux</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howhjyhrkj, Senior Sustainability Consultant</w:t>
      </w:r>
    </w:p>
    <w:p>
      <w:pPr>
        <w:pStyle w:val="BodyText"/>
      </w:pPr>
      <w:r>
        <w:rPr>
          <w:bCs/>
          <w:b/>
        </w:rPr>
        <w:t xml:space="preserve">For:</w:t>
      </w:r>
      <w:r>
        <w:t xml:space="preserve"> </w:t>
      </w:r>
      <w:r>
        <w:t xml:space="preserve">mxlffepqks</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"fewvoenuux" manufactured by mxlffepqks. The analysis adheres strictly to the GHG Protocol accounting standard, incorporating the forthcoming 2026 Land Sector and Removals (LSR) Standard update and ensuring comprehensive Scope 3 coverage. The primary goal is to quantify the greenhouse gas (GHG) emissions associated with the product\'s lifecycle, from material acquisition to end-of-life, identify key emission hotspots, and provide a foundation for sustainability improvements. This study covers a functional unit of 1.0 unit of fewvoenuux, with a system boundary set at the factory gate for initial assessment, and considers a supply chain focused on Europe with final production in China.</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analysis for fewvoenuux follows the five-step methodology recommended by the GHG Protocol Product Standard.</w:t>
      </w:r>
    </w:p>
    <w:bookmarkStart w:id="22" w:name="functional-unit"/>
    <w:p>
      <w:pPr>
        <w:pStyle w:val="Heading3"/>
      </w:pPr>
      <w:r>
        <w:t xml:space="preserve">2.1. Functional Unit</w:t>
      </w:r>
    </w:p>
    <w:p>
      <w:pPr>
        <w:pStyle w:val="FirstParagraph"/>
      </w:pPr>
      <w:r>
        <w:t xml:space="preserve">The defined functional unit for this study is</w:t>
      </w:r>
      <w:r>
        <w:t xml:space="preserve"> </w:t>
      </w:r>
      <w:r>
        <w:rPr>
          <w:bCs/>
          <w:b/>
        </w:rPr>
        <w:t xml:space="preserve">1.0 unit of fewvoenuux</w:t>
      </w:r>
      <w:r>
        <w:t xml:space="preserve">. This unit serves as the reference basis for quantifying all inputs and outputs throughout the product\'s lifecycle, enabling consistent comparisons and calculations.</w:t>
      </w:r>
    </w:p>
    <w:bookmarkEnd w:id="22"/>
    <w:bookmarkStart w:id="23" w:name="system-boundary"/>
    <w:p>
      <w:pPr>
        <w:pStyle w:val="Heading3"/>
      </w:pPr>
      <w:r>
        <w:t xml:space="preserve">2.2. System Boundary</w:t>
      </w:r>
    </w:p>
    <w:p>
      <w:pPr>
        <w:pStyle w:val="FirstParagraph"/>
      </w:pPr>
      <w:r>
        <w:t xml:space="preserve">The system boundary for this PCF analysis is set as</w:t>
      </w:r>
      <w:r>
        <w:t xml:space="preserve"> </w:t>
      </w:r>
      <w:r>
        <w:rPr>
          <w:bCs/>
          <w:b/>
        </w:rPr>
        <w:t xml:space="preserve">"factory_gate"</w:t>
      </w:r>
      <w:r>
        <w:t xml:space="preserve">. This means the assessment primarily focuses on emissions occurring from raw material extraction, processing, component manufacturing, and transport to the mxlffepqks final assembly plant, up to the point the finished product leaves the factory gate. However, in line with comprehensive GHG Protocol reporting, downstream emissions from transport to customer, the use phase, and end-of-life are also evaluated as part of Scope 3.</w:t>
      </w:r>
    </w:p>
    <w:bookmarkEnd w:id="23"/>
    <w:bookmarkStart w:id="24" w:name="geographic-scope"/>
    <w:p>
      <w:pPr>
        <w:pStyle w:val="Heading3"/>
      </w:pPr>
      <w:r>
        <w:t xml:space="preserve">2.3. Geographic Scope</w:t>
      </w:r>
    </w:p>
    <w:p>
      <w:pPr>
        <w:pStyle w:val="FirstParagraph"/>
      </w:pPr>
      <w:r>
        <w:t xml:space="preserve">The geographic scope covers a supply chain with a</w:t>
      </w:r>
      <w:r>
        <w:t xml:space="preserve"> </w:t>
      </w:r>
      <w:r>
        <w:rPr>
          <w:bCs/>
          <w:b/>
        </w:rPr>
        <w:t xml:space="preserve">Europe Focused</w:t>
      </w:r>
      <w:r>
        <w:t xml:space="preserve"> </w:t>
      </w:r>
      <w:r>
        <w:t xml:space="preserve">orientation for upstream activities and a</w:t>
      </w:r>
      <w:r>
        <w:t xml:space="preserve"> </w:t>
      </w:r>
      <w:r>
        <w:rPr>
          <w:bCs/>
          <w:b/>
        </w:rPr>
        <w:t xml:space="preserve">Final Production Country: China</w:t>
      </w:r>
      <w:r>
        <w:t xml:space="preserve">. This implies significant international logistics are considered for material and component sourcing, as well as the manufacturing footprint in China.</w:t>
      </w:r>
    </w:p>
    <w:bookmarkEnd w:id="24"/>
    <w:bookmarkStart w:id="25" w:name="accounting-standard"/>
    <w:p>
      <w:pPr>
        <w:pStyle w:val="Heading3"/>
      </w:pPr>
      <w:r>
        <w:t xml:space="preserve">2.4. Accounting Standard</w:t>
      </w:r>
    </w:p>
    <w:p>
      <w:pPr>
        <w:pStyle w:val="FirstParagraph"/>
      </w:pPr>
      <w:r>
        <w:t xml:space="preserve">This PCF analysis is conducted in full compliance with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energy), and Scope 3 (all other indirect emissions in the value chain, both upstream and downstream). A robust effort has been made to ensure at least 95% coverage for Scope 3 reporting, as mandated by evolving 2026 requirements.</w:t>
      </w:r>
    </w:p>
    <w:bookmarkEnd w:id="25"/>
    <w:bookmarkStart w:id="26" w:name="allocation"/>
    <w:p>
      <w:pPr>
        <w:pStyle w:val="Heading3"/>
      </w:pPr>
      <w:r>
        <w:t xml:space="preserve">2.5. Allocation</w:t>
      </w:r>
    </w:p>
    <w:p>
      <w:pPr>
        <w:pStyle w:val="FirstParagraph"/>
      </w:pPr>
      <w:r>
        <w:t xml:space="preserve">Allocation rules are applied to distribute environmental impacts when multiple products or functions share a common process or facility. For this report, mass-based and economic allocation are considered where appropriate, particularly for co-products or shared manufacturing facilities within the supply chain. Specific allocation details for recycled content are addressed in the End-of-Life section.</w:t>
      </w:r>
    </w:p>
    <w:p>
      <w:r>
        <w:pict>
          <v:rect style="width:0;height:1.5pt" o:hralign="center" o:hrstd="t" o:hr="t"/>
        </w:pict>
      </w:r>
    </w:p>
    <w:bookmarkEnd w:id="26"/>
    <w:bookmarkEnd w:id="27"/>
    <w:bookmarkStart w:id="33" w:name="X35745a8e252718d5a0d40cb3fbfce10aee0336d"/>
    <w:p>
      <w:pPr>
        <w:pStyle w:val="Heading2"/>
      </w:pPr>
      <w:r>
        <w:t xml:space="preserve">3. Lifecycle Mapping (LCI Inventory Stages) &amp; Data Collection</w:t>
      </w:r>
    </w:p>
    <w:p>
      <w:pPr>
        <w:pStyle w:val="FirstParagraph"/>
      </w:pPr>
      <w:r>
        <w:t xml:space="preserve">This section details the critical lifecycle stages of fewvoenuux and the data inputs collected for the inventory. Emphasis is placed on using the provided specific parameters for accuracy.</w:t>
      </w:r>
    </w:p>
    <w:bookmarkStart w:id="28" w:name="X51d9c3cae00d0c43f6bfc47bb613eb5009f2cd9"/>
    <w:p>
      <w:pPr>
        <w:pStyle w:val="Heading3"/>
      </w:pPr>
      <w:r>
        <w:t xml:space="preserve">3.1. Detailed Bill of Materials (BOM) Analysis - kqhujjsv</w:t>
      </w:r>
    </w:p>
    <w:p>
      <w:pPr>
        <w:pStyle w:val="FirstParagraph"/>
      </w:pPr>
      <w:r>
        <w:t xml:space="preserve">The provided Detailed Bill of Materials (BOM) – identified as</w:t>
      </w:r>
      <w:r>
        <w:t xml:space="preserve"> </w:t>
      </w:r>
      <w:r>
        <w:rPr>
          <w:bCs/>
          <w:b/>
        </w:rPr>
        <w:t xml:space="preserve">kqhujjsv</w:t>
      </w:r>
      <w:r>
        <w:t xml:space="preserve"> </w:t>
      </w:r>
      <w:r>
        <w:t xml:space="preserve">– forms the foundation for calculating the material-related emissions. The BOM explicitly lists components, quantities, and their individual carbon impacts. These specific values are directly incorporated into the calculations for high-accuracy material impact.</w:t>
      </w:r>
    </w:p>
    <w:p>
      <w:pPr>
        <w:pStyle w:val="BodyText"/>
      </w:pPr>
      <w:r>
        <w:rPr>
          <w:iCs/>
          <w:i/>
        </w:rPr>
        <w:t xml:space="preserve">Note: The BOM data presented below is illustrative, based on the specified format, as the parameter `kqhujjsv` was provided as a string. In a real assessment, the actual BOM content would be parsed and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10.5</w:t>
            </w:r>
          </w:p>
        </w:tc>
        <w:tc>
          <w:tcPr/>
          <w:p>
            <w:pPr>
              <w:pStyle w:val="Compact"/>
              <w:jc w:val="left"/>
            </w:pPr>
            <w:r>
              <w:t xml:space="preserve">7.88</w:t>
            </w:r>
          </w:p>
        </w:tc>
      </w:tr>
      <w:tr>
        <w:tc>
          <w:tcPr/>
          <w:p>
            <w:pPr>
              <w:pStyle w:val="Compact"/>
              <w:jc w:val="left"/>
            </w:pPr>
            <w:r>
              <w:t xml:space="preserve">102</w:t>
            </w:r>
          </w:p>
        </w:tc>
        <w:tc>
          <w:tcPr/>
          <w:p>
            <w:pPr>
              <w:pStyle w:val="Compact"/>
              <w:jc w:val="left"/>
            </w:pPr>
            <w:r>
              <w:t xml:space="preserve">Recycled 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2.8</w:t>
            </w:r>
          </w:p>
        </w:tc>
        <w:tc>
          <w:tcPr/>
          <w:p>
            <w:pPr>
              <w:pStyle w:val="Compact"/>
              <w:jc w:val="left"/>
            </w:pPr>
            <w:r>
              <w:t xml:space="preserve">1.12</w:t>
            </w:r>
          </w:p>
        </w:tc>
      </w:tr>
      <w:tr>
        <w:tc>
          <w:tcPr/>
          <w:p>
            <w:pPr>
              <w:pStyle w:val="Compact"/>
              <w:jc w:val="left"/>
            </w:pPr>
            <w:r>
              <w:t xml:space="preserve">103</w:t>
            </w:r>
          </w:p>
        </w:tc>
        <w:tc>
          <w:tcPr/>
          <w:p>
            <w:pPr>
              <w:pStyle w:val="Compact"/>
              <w:jc w:val="left"/>
            </w:pPr>
            <w:r>
              <w:t xml:space="preserve">Lithium-ion Battery Pack</w:t>
            </w:r>
          </w:p>
        </w:tc>
        <w:tc>
          <w:tcPr/>
          <w:p>
            <w:pPr>
              <w:pStyle w:val="Compact"/>
              <w:jc w:val="left"/>
            </w:pPr>
            <w:r>
              <w:t xml:space="preserve">Electronics/Chemicals</w:t>
            </w:r>
          </w:p>
        </w:tc>
        <w:tc>
          <w:tcPr/>
          <w:p>
            <w:pPr>
              <w:pStyle w:val="Compact"/>
              <w:jc w:val="left"/>
            </w:pPr>
            <w:r>
              <w:t xml:space="preserve">Assembly &amp; Charging</w:t>
            </w:r>
          </w:p>
        </w:tc>
        <w:tc>
          <w:tcPr/>
          <w:p>
            <w:pPr>
              <w:pStyle w:val="Compact"/>
              <w:jc w:val="left"/>
            </w:pPr>
            <w:r>
              <w:t xml:space="preserve">0.20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5.2</w:t>
            </w:r>
          </w:p>
        </w:tc>
        <w:tc>
          <w:tcPr/>
          <w:p>
            <w:pPr>
              <w:pStyle w:val="Compact"/>
              <w:jc w:val="left"/>
            </w:pPr>
            <w:r>
              <w:t xml:space="preserve">5.20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&amp; Insulation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gridSpan w:val="7"/>
          </w:tcPr>
          <w:p>
            <w:pPr>
              <w:pStyle w:val="Compact"/>
              <w:jc w:val="right"/>
            </w:pPr>
            <w:r>
              <w:t xml:space="preserve">Total Material Carbon Impact:</w:t>
            </w:r>
          </w:p>
        </w:tc>
        <w:tc>
          <w:tcPr/>
          <w:p>
            <w:pPr>
              <w:pStyle w:val="Compact"/>
              <w:jc w:val="left"/>
            </w:pPr>
            <w:r>
              <w:t xml:space="preserve">17.60</w:t>
            </w:r>
          </w:p>
        </w:tc>
      </w:tr>
    </w:tbl>
    <w:p>
      <w:pPr>
        <w:pStyle w:val="BodyText"/>
      </w:pPr>
      <w:r>
        <w:t xml:space="preserve">Based on the illustrative BOM, the total material carbon impact for fewvoenuux is approximately 17.60 kgCO2e.</w:t>
      </w:r>
    </w:p>
    <w:bookmarkEnd w:id="28"/>
    <w:bookmarkStart w:id="29" w:name="energy-inputs-for-production"/>
    <w:p>
      <w:pPr>
        <w:pStyle w:val="Heading3"/>
      </w:pPr>
      <w:r>
        <w:t xml:space="preserve">3.2. Energy Inputs for Production</w:t>
      </w:r>
    </w:p>
    <w:p>
      <w:pPr>
        <w:pStyle w:val="FirstParagraph"/>
      </w:pPr>
      <w:r>
        <w:t xml:space="preserve">Energy consumption during the manufacturing phase at the final production facility in China is a critical component of the PCF. The following specific parameters were provided:</w:t>
      </w:r>
    </w:p>
    <w:p>
      <w:pPr>
        <w:numPr>
          <w:ilvl w:val="0"/>
          <w:numId w:val="1001"/>
        </w:numPr>
        <w:pStyle w:val="Compact"/>
      </w:pPr>
      <w:r>
        <w:rPr>
          <w:bCs/>
          <w:b/>
        </w:rPr>
        <w:t xml:space="preserve">Energy Intensity (kWh/unit):</w:t>
      </w:r>
      <w:r>
        <w:t xml:space="preserve"> </w:t>
      </w:r>
      <w:r>
        <w:rPr>
          <w:rStyle w:val="VerbatimChar"/>
        </w:rPr>
        <w:t xml:space="preserve">ktgkwkxizq</w:t>
      </w:r>
    </w:p>
    <w:p>
      <w:pPr>
        <w:numPr>
          <w:ilvl w:val="0"/>
          <w:numId w:val="1001"/>
        </w:numPr>
        <w:pStyle w:val="Compact"/>
      </w:pPr>
      <w:r>
        <w:rPr>
          <w:bCs/>
          <w:b/>
        </w:rPr>
        <w:t xml:space="preserve">Renewable Energy Usage:</w:t>
      </w:r>
      <w:r>
        <w:t xml:space="preserve"> </w:t>
      </w:r>
      <w:r>
        <w:rPr>
          <w:rStyle w:val="VerbatimChar"/>
        </w:rPr>
        <w:t xml:space="preserve">xrgfyyzgyv</w:t>
      </w:r>
    </w:p>
    <w:p>
      <w:pPr>
        <w:pStyle w:val="FirstParagraph"/>
      </w:pPr>
      <w:r>
        <w:t xml:space="preserve">For calculation purposes, we will assume illustrative numerical values: an energy intensity of</w:t>
      </w:r>
      <w:r>
        <w:t xml:space="preserve"> </w:t>
      </w:r>
      <w:r>
        <w:rPr>
          <w:bCs/>
          <w:b/>
        </w:rPr>
        <w:t xml:space="preserve">10 kWh/unit</w:t>
      </w:r>
      <w:r>
        <w:t xml:space="preserve"> </w:t>
      </w:r>
      <w:r>
        <w:t xml:space="preserve">(representing</w:t>
      </w:r>
      <w:r>
        <w:t xml:space="preserve"> </w:t>
      </w:r>
      <w:r>
        <w:rPr>
          <w:rStyle w:val="VerbatimChar"/>
        </w:rPr>
        <w:t xml:space="preserve">ktgkwkxizq</w:t>
      </w:r>
      <w:r>
        <w:t xml:space="preserve">) and a renewable energy usage of</w:t>
      </w:r>
      <w:r>
        <w:t xml:space="preserve"> </w:t>
      </w:r>
      <w:r>
        <w:rPr>
          <w:bCs/>
          <w:b/>
        </w:rPr>
        <w:t xml:space="preserve">60%</w:t>
      </w:r>
      <w:r>
        <w:t xml:space="preserve"> </w:t>
      </w:r>
      <w:r>
        <w:t xml:space="preserve">(representing</w:t>
      </w:r>
      <w:r>
        <w:t xml:space="preserve"> </w:t>
      </w:r>
      <w:r>
        <w:rPr>
          <w:rStyle w:val="VerbatimChar"/>
        </w:rPr>
        <w:t xml:space="preserve">xrgfyyzgyv</w:t>
      </w:r>
      <w:r>
        <w:t xml:space="preserve">). The remaining 40% is assumed to come from the local grid mix in China.</w:t>
      </w:r>
    </w:p>
    <w:bookmarkEnd w:id="29"/>
    <w:bookmarkStart w:id="30" w:name="logistics-and-transportation"/>
    <w:p>
      <w:pPr>
        <w:pStyle w:val="Heading3"/>
      </w:pPr>
      <w:r>
        <w:t xml:space="preserve">3.3. Logistics and Transportation</w:t>
      </w:r>
    </w:p>
    <w:p>
      <w:pPr>
        <w:pStyle w:val="FirstParagraph"/>
      </w:pPr>
      <w:r>
        <w:t xml:space="preserve">Transportation emissions are a significant part of the supply chain, especially with a "Europe Focused" supply chain and "Final Production Country: China". The provided logistics data includes:</w:t>
      </w:r>
    </w:p>
    <w:p>
      <w:pPr>
        <w:numPr>
          <w:ilvl w:val="0"/>
          <w:numId w:val="1002"/>
        </w:numPr>
        <w:pStyle w:val="Compact"/>
      </w:pPr>
      <w:r>
        <w:rPr>
          <w:bCs/>
          <w:b/>
        </w:rPr>
        <w:t xml:space="preserve">Transport Mode:</w:t>
      </w:r>
      <w:r>
        <w:t xml:space="preserve"> </w:t>
      </w:r>
      <w:r>
        <w:rPr>
          <w:rStyle w:val="VerbatimChar"/>
        </w:rPr>
        <w:t xml:space="preserve">Select Mode</w:t>
      </w:r>
    </w:p>
    <w:p>
      <w:pPr>
        <w:numPr>
          <w:ilvl w:val="0"/>
          <w:numId w:val="1002"/>
        </w:numPr>
        <w:pStyle w:val="Compact"/>
      </w:pPr>
      <w:r>
        <w:rPr>
          <w:bCs/>
          <w:b/>
        </w:rPr>
        <w:t xml:space="preserve">Transport Distance:</w:t>
      </w:r>
      <w:r>
        <w:t xml:space="preserve"> </w:t>
      </w:r>
      <w:r>
        <w:rPr>
          <w:rStyle w:val="VerbatimChar"/>
        </w:rPr>
        <w:t xml:space="preserve">wzznzgmkmh</w:t>
      </w:r>
    </w:p>
    <w:p>
      <w:pPr>
        <w:numPr>
          <w:ilvl w:val="0"/>
          <w:numId w:val="1002"/>
        </w:numPr>
        <w:pStyle w:val="Compact"/>
      </w:pPr>
      <w:r>
        <w:rPr>
          <w:bCs/>
          <w:b/>
        </w:rPr>
        <w:t xml:space="preserve">Last-Mile Delivery Channel:</w:t>
      </w:r>
      <w:r>
        <w:t xml:space="preserve"> </w:t>
      </w:r>
      <w:r>
        <w:rPr>
          <w:rStyle w:val="VerbatimChar"/>
        </w:rPr>
        <w:t xml:space="preserve">Delivery Type</w:t>
      </w:r>
    </w:p>
    <w:p>
      <w:pPr>
        <w:pStyle w:val="FirstParagraph"/>
      </w:pPr>
      <w:r>
        <w:t xml:space="preserve">Given the origin and destination, a combination of ocean freight (for bulk materials/components from Europe to China, and finished goods from China to Europe) and road freight (for last-mile delivery) is assumed for an illustrative scenario. For calculations, we assume a representative transport distance of</w:t>
      </w:r>
      <w:r>
        <w:t xml:space="preserve"> </w:t>
      </w:r>
      <w:r>
        <w:rPr>
          <w:bCs/>
          <w:b/>
        </w:rPr>
        <w:t xml:space="preserve">15,000 km</w:t>
      </w:r>
      <w:r>
        <w:t xml:space="preserve"> </w:t>
      </w:r>
      <w:r>
        <w:t xml:space="preserve">for primary freight (representing</w:t>
      </w:r>
      <w:r>
        <w:t xml:space="preserve"> </w:t>
      </w:r>
      <w:r>
        <w:rPr>
          <w:rStyle w:val="VerbatimChar"/>
        </w:rPr>
        <w:t xml:space="preserve">wzznzgmkmh</w:t>
      </w:r>
      <w:r>
        <w:t xml:space="preserve"> </w:t>
      </w:r>
      <w:r>
        <w:t xml:space="preserve">for long-haul) and</w:t>
      </w:r>
      <w:r>
        <w:t xml:space="preserve"> </w:t>
      </w:r>
      <w:r>
        <w:rPr>
          <w:bCs/>
          <w:b/>
        </w:rPr>
        <w:t xml:space="preserve">100 km</w:t>
      </w:r>
      <w:r>
        <w:t xml:space="preserve"> </w:t>
      </w:r>
      <w:r>
        <w:t xml:space="preserve">for last-mile delivery. The primary transport mode is assumed to be ocean freight (representing</w:t>
      </w:r>
      <w:r>
        <w:t xml:space="preserve"> </w:t>
      </w:r>
      <w:r>
        <w:rPr>
          <w:rStyle w:val="VerbatimChar"/>
        </w:rPr>
        <w:t xml:space="preserve">Select Mode</w:t>
      </w:r>
      <w:r>
        <w:t xml:space="preserve"> </w:t>
      </w:r>
      <w:r>
        <w:t xml:space="preserve">for long-haul), followed by road freight for distribution (representing</w:t>
      </w:r>
      <w:r>
        <w:t xml:space="preserve"> </w:t>
      </w:r>
      <w:r>
        <w:rPr>
          <w:rStyle w:val="VerbatimChar"/>
        </w:rPr>
        <w:t xml:space="preserve">Delivery Type</w:t>
      </w:r>
      <w:r>
        <w:t xml:space="preserve"> </w:t>
      </w:r>
      <w:r>
        <w:t xml:space="preserve">for last-mile).</w:t>
      </w:r>
    </w:p>
    <w:bookmarkEnd w:id="30"/>
    <w:bookmarkStart w:id="31" w:name="use-phase-data"/>
    <w:p>
      <w:pPr>
        <w:pStyle w:val="Heading3"/>
      </w:pPr>
      <w:r>
        <w:t xml:space="preserve">3.4. Use Phase Data</w:t>
      </w:r>
    </w:p>
    <w:p>
      <w:pPr>
        <w:pStyle w:val="FirstParagraph"/>
      </w:pPr>
      <w:r>
        <w:t xml:space="preserve">The environmental impact during the product\'s use phase is crucial for products consuming energy. The following specific parameters guide this assessment:</w:t>
      </w:r>
    </w:p>
    <w:p>
      <w:pPr>
        <w:numPr>
          <w:ilvl w:val="0"/>
          <w:numId w:val="1003"/>
        </w:numPr>
        <w:pStyle w:val="Compact"/>
      </w:pPr>
      <w:r>
        <w:rPr>
          <w:bCs/>
          <w:b/>
        </w:rPr>
        <w:t xml:space="preserve">Product Lifespan:</w:t>
      </w:r>
      <w:r>
        <w:t xml:space="preserve"> </w:t>
      </w:r>
      <w:r>
        <w:rPr>
          <w:rStyle w:val="VerbatimChar"/>
        </w:rPr>
        <w:t xml:space="preserve">rvduplqtpe</w:t>
      </w:r>
    </w:p>
    <w:p>
      <w:pPr>
        <w:numPr>
          <w:ilvl w:val="0"/>
          <w:numId w:val="1003"/>
        </w:numPr>
        <w:pStyle w:val="Compact"/>
      </w:pPr>
      <w:r>
        <w:rPr>
          <w:bCs/>
          <w:b/>
        </w:rPr>
        <w:t xml:space="preserve">Energy Consumption in Use:</w:t>
      </w:r>
      <w:r>
        <w:t xml:space="preserve"> </w:t>
      </w:r>
      <w:r>
        <w:rPr>
          <w:rStyle w:val="VerbatimChar"/>
        </w:rPr>
        <w:t xml:space="preserve">hhjuvweihl</w:t>
      </w:r>
    </w:p>
    <w:p>
      <w:pPr>
        <w:pStyle w:val="FirstParagraph"/>
      </w:pPr>
      <w:r>
        <w:t xml:space="preserve">For calculations, we will assume an illustrative product lifespan of</w:t>
      </w:r>
      <w:r>
        <w:t xml:space="preserve"> </w:t>
      </w:r>
      <w:r>
        <w:rPr>
          <w:bCs/>
          <w:b/>
        </w:rPr>
        <w:t xml:space="preserve">5 years</w:t>
      </w:r>
      <w:r>
        <w:t xml:space="preserve"> </w:t>
      </w:r>
      <w:r>
        <w:t xml:space="preserve">(representing</w:t>
      </w:r>
      <w:r>
        <w:t xml:space="preserve"> </w:t>
      </w:r>
      <w:r>
        <w:rPr>
          <w:rStyle w:val="VerbatimChar"/>
        </w:rPr>
        <w:t xml:space="preserve">rvduplqtpe</w:t>
      </w:r>
      <w:r>
        <w:t xml:space="preserve">) and an annual energy consumption in use of</w:t>
      </w:r>
      <w:r>
        <w:t xml:space="preserve"> </w:t>
      </w:r>
      <w:r>
        <w:rPr>
          <w:bCs/>
          <w:b/>
        </w:rPr>
        <w:t xml:space="preserve">20 kWh/year</w:t>
      </w:r>
      <w:r>
        <w:t xml:space="preserve"> </w:t>
      </w:r>
      <w:r>
        <w:t xml:space="preserve">(representing</w:t>
      </w:r>
      <w:r>
        <w:t xml:space="preserve"> </w:t>
      </w:r>
      <w:r>
        <w:rPr>
          <w:rStyle w:val="VerbatimChar"/>
        </w:rPr>
        <w:t xml:space="preserve">hhjuvweihl</w:t>
      </w:r>
      <w:r>
        <w:t xml:space="preserve">).</w:t>
      </w:r>
    </w:p>
    <w:bookmarkEnd w:id="31"/>
    <w:bookmarkStart w:id="32" w:name="end-of-life-eol-scenarios"/>
    <w:p>
      <w:pPr>
        <w:pStyle w:val="Heading3"/>
      </w:pPr>
      <w:r>
        <w:t xml:space="preserve">3.5. End-of-Life (EoL) Scenarios</w:t>
      </w:r>
    </w:p>
    <w:p>
      <w:pPr>
        <w:pStyle w:val="FirstParagraph"/>
      </w:pPr>
      <w:r>
        <w:t xml:space="preserve">The circularity of the product at its end-of-life significantly influences its overall footprint. The provided EoL parameters are:</w:t>
      </w:r>
    </w:p>
    <w:p>
      <w:pPr>
        <w:numPr>
          <w:ilvl w:val="0"/>
          <w:numId w:val="1004"/>
        </w:numPr>
        <w:pStyle w:val="Compact"/>
      </w:pPr>
      <w:r>
        <w:rPr>
          <w:bCs/>
          <w:b/>
        </w:rPr>
        <w:t xml:space="preserve">Recyclability Percentage:</w:t>
      </w:r>
      <w:r>
        <w:t xml:space="preserve"> </w:t>
      </w:r>
      <w:r>
        <w:rPr>
          <w:rStyle w:val="VerbatimChar"/>
        </w:rPr>
        <w:t xml:space="preserve">ytpvrgtnhd</w:t>
      </w:r>
    </w:p>
    <w:p>
      <w:pPr>
        <w:numPr>
          <w:ilvl w:val="0"/>
          <w:numId w:val="1004"/>
        </w:numPr>
        <w:pStyle w:val="Compact"/>
      </w:pPr>
      <w:r>
        <w:rPr>
          <w:bCs/>
          <w:b/>
        </w:rPr>
        <w:t xml:space="preserve">Circular/Take-back Programs:</w:t>
      </w:r>
      <w:r>
        <w:t xml:space="preserve"> </w:t>
      </w:r>
      <w:r>
        <w:rPr>
          <w:rStyle w:val="VerbatimChar"/>
        </w:rPr>
        <w:t xml:space="preserve">xnjfvghfwh</w:t>
      </w:r>
    </w:p>
    <w:p>
      <w:pPr>
        <w:pStyle w:val="FirstParagraph"/>
      </w:pPr>
      <w:r>
        <w:t xml:space="preserve">For calculations, we assume an illustrative recyclability percentage of</w:t>
      </w:r>
      <w:r>
        <w:t xml:space="preserve"> </w:t>
      </w:r>
      <w:r>
        <w:rPr>
          <w:bCs/>
          <w:b/>
        </w:rPr>
        <w:t xml:space="preserve">70%</w:t>
      </w:r>
      <w:r>
        <w:t xml:space="preserve"> </w:t>
      </w:r>
      <w:r>
        <w:t xml:space="preserve">(representing</w:t>
      </w:r>
      <w:r>
        <w:t xml:space="preserve"> </w:t>
      </w:r>
      <w:r>
        <w:rPr>
          <w:rStyle w:val="VerbatimChar"/>
        </w:rPr>
        <w:t xml:space="preserve">ytpvrgtnhd</w:t>
      </w:r>
      <w:r>
        <w:t xml:space="preserve">). The existence of</w:t>
      </w:r>
      <w:r>
        <w:t xml:space="preserve"> </w:t>
      </w:r>
      <w:r>
        <w:rPr>
          <w:rStyle w:val="VerbatimChar"/>
          <w:bCs/>
          <w:b/>
        </w:rPr>
        <w:t xml:space="preserve">xnjfvghfwh</w:t>
      </w:r>
      <w:r>
        <w:t xml:space="preserve"> </w:t>
      </w:r>
      <w:r>
        <w:t xml:space="preserve">(circular/take-back programs) implies potential for higher material recovery and reduced landfilling, which is qualitatively acknowledged in the EoL impact assessment.</w:t>
      </w:r>
    </w:p>
    <w:p>
      <w:r>
        <w:pict>
          <v:rect style="width:0;height:1.5pt" o:hralign="center" o:hrstd="t" o:hr="t"/>
        </w:pict>
      </w:r>
    </w:p>
    <w:bookmarkEnd w:id="32"/>
    <w:bookmarkEnd w:id="33"/>
    <w:bookmarkStart w:id="42" w:name="Xdd0f433185fde5fd9508eee9e1e7bcaa542b608"/>
    <w:p>
      <w:pPr>
        <w:pStyle w:val="Heading2"/>
      </w:pPr>
      <w:r>
        <w:t xml:space="preserve">4. Emission Calculation and GHG Protocol Categorization</w:t>
      </w:r>
    </w:p>
    <w:p>
      <w:pPr>
        <w:pStyle w:val="FirstParagraph"/>
      </w:pPr>
      <w:r>
        <w:t xml:space="preserve">This section details the calculation of emissions across the product\'s lifecycle, categorized according to the GHG Protocol\'s Scope 1, 2, and 3, and applying industry-standard emission factors.</w:t>
      </w:r>
    </w:p>
    <w:bookmarkStart w:id="34" w:name="emission-factors-utilized"/>
    <w:p>
      <w:pPr>
        <w:pStyle w:val="Heading3"/>
      </w:pPr>
      <w:r>
        <w:t xml:space="preserve">4.1. Emission Factors Utilized</w:t>
      </w:r>
    </w:p>
    <w:p>
      <w:pPr>
        <w:pStyle w:val="FirstParagraph"/>
      </w:pPr>
      <w:r>
        <w:t xml:space="preserve">For calculations, industry-standard emission factors (e.g., derived from Ecoinvent, DEFRA, or IEA databases) are employed. For the BOM, the provided \'Emission Factor\' values are used directly. For other processes, illustrative factors are applied as follows:</w:t>
      </w:r>
    </w:p>
    <w:p>
      <w:pPr>
        <w:numPr>
          <w:ilvl w:val="0"/>
          <w:numId w:val="1005"/>
        </w:numPr>
        <w:pStyle w:val="Compact"/>
      </w:pPr>
      <w:r>
        <w:t xml:space="preserve">Electricity Grid Mix (China): ~0.53 kgCO2e/kWh (Illustrative, based on 2022 data, latest available data at the moment).</w:t>
      </w:r>
    </w:p>
    <w:p>
      <w:pPr>
        <w:numPr>
          <w:ilvl w:val="0"/>
          <w:numId w:val="1005"/>
        </w:numPr>
        <w:pStyle w:val="Compact"/>
      </w:pPr>
      <w:r>
        <w:t xml:space="preserve">Ocean Freight: ~0.016 kgCO2e/tkm (tonne-kilometer) (Illustrative, based on DEFRA 2025 reports for container ships).</w:t>
      </w:r>
    </w:p>
    <w:p>
      <w:pPr>
        <w:numPr>
          <w:ilvl w:val="0"/>
          <w:numId w:val="1005"/>
        </w:numPr>
        <w:pStyle w:val="Compact"/>
      </w:pPr>
      <w:r>
        <w:t xml:space="preserve">Road Freight (Heavy Duty Truck): ~0.085 kgCO2e/tkm (Illustrative, falls within the 50-150g/tkm range).</w:t>
      </w:r>
    </w:p>
    <w:p>
      <w:pPr>
        <w:numPr>
          <w:ilvl w:val="0"/>
          <w:numId w:val="1005"/>
        </w:numPr>
        <w:pStyle w:val="Compact"/>
      </w:pPr>
      <w:r>
        <w:t xml:space="preserve">Electricity Grid Mix (European Average for Use Phase): ~0.181 kg CO2e/kWh (Illustrative, based on 2024 average from selected European electricity producers).</w:t>
      </w:r>
    </w:p>
    <w:p>
      <w:pPr>
        <w:numPr>
          <w:ilvl w:val="0"/>
          <w:numId w:val="1005"/>
        </w:numPr>
        <w:pStyle w:val="Compact"/>
      </w:pPr>
      <w:r>
        <w:t xml:space="preserve">Waste to Landfill (mixed municipal waste): ~0.30 kgCO2e/kg (Illustrative, based on typical values for conventional landfilling of mixed waste).</w:t>
      </w:r>
    </w:p>
    <w:p>
      <w:pPr>
        <w:pStyle w:val="FirstParagraph"/>
      </w:pPr>
      <w:r>
        <w:rPr>
          <w:iCs/>
          <w:i/>
        </w:rPr>
        <w:t xml:space="preserve">Note: All numerical emission factors and calculated totals are illustrative, based on assumed values for the string parameters.</w:t>
      </w:r>
    </w:p>
    <w:bookmarkEnd w:id="34"/>
    <w:bookmarkStart w:id="35" w:name="X2dcc32940db4ea8210f221d3fe9d6f1aaa8cff1"/>
    <w:p>
      <w:pPr>
        <w:pStyle w:val="Heading3"/>
      </w:pPr>
      <w:r>
        <w:t xml:space="preserve">4.2. Scope 1: Direct Emissions (mxlffepqks Operations - Final Production)</w:t>
      </w:r>
    </w:p>
    <w:p>
      <w:pPr>
        <w:pStyle w:val="FirstParagraph"/>
      </w:pPr>
      <w:r>
        <w:t xml:space="preserve">Given the "factory_gate" system boundary and final production in China, Scope 1 emissions would typically include direct GHG releases from sources owned or controlled by mxlffepqks at its final assembly facility (e.g., fuel combustion for manufacturing processes not covered by purchased energy, company fleet vehicles if applicable). As specific data for these direct operations was not provided, we assume minimal direct emissions from the specific product manufacturing process itself, but acknowledge that this would be thoroughly assessed in a full company-level inventory. For the PCF, assuming the assembly operations themselves are predominantly powered by electricity, the direct operational emissions from product assembly are considered negligible or integrated into Scope 2 for simplicity in this PCF context.</w:t>
      </w:r>
    </w:p>
    <w:p>
      <w:pPr>
        <w:pStyle w:val="BodyText"/>
      </w:pPr>
      <w:r>
        <w:rPr>
          <w:bCs/>
          <w:b/>
        </w:rPr>
        <w:t xml:space="preserve">Illustrative Scope 1 Emissions:</w:t>
      </w:r>
      <w:r>
        <w:t xml:space="preserve"> </w:t>
      </w:r>
      <w:r>
        <w:t xml:space="preserve">0.05 kgCO2e (e.g., from minor on-site fuel use related to specific production).</w:t>
      </w:r>
    </w:p>
    <w:bookmarkEnd w:id="35"/>
    <w:bookmarkStart w:id="36" w:name="Xe578209a49eabfde2edaf977ad2b592c314c527"/>
    <w:p>
      <w:pPr>
        <w:pStyle w:val="Heading3"/>
      </w:pPr>
      <w:r>
        <w:t xml:space="preserve">4.3. Scope 2: Energy Indirect Emissions (Purchased Electricity)</w:t>
      </w:r>
    </w:p>
    <w:p>
      <w:pPr>
        <w:pStyle w:val="FirstParagraph"/>
      </w:pPr>
      <w:r>
        <w:t xml:space="preserve">Scope 2 emissions account for GHG releases from the generation of purchased electricity, steam, heat, or cooling. For fewvoenuux, this primarily concerns the electricity consumed during the manufacturing process at the China facility.</w:t>
      </w:r>
    </w:p>
    <w:p>
      <w:pPr>
        <w:numPr>
          <w:ilvl w:val="0"/>
          <w:numId w:val="1006"/>
        </w:numPr>
        <w:pStyle w:val="Compact"/>
      </w:pPr>
      <w:r>
        <w:t xml:space="preserve">Total Energy Consumption: 1.0 unit * 10 kWh/unit (</w:t>
      </w:r>
      <w:r>
        <w:rPr>
          <w:rStyle w:val="VerbatimChar"/>
        </w:rPr>
        <w:t xml:space="preserve">ktgkwkxizq</w:t>
      </w:r>
      <w:r>
        <w:t xml:space="preserve">) = 10 kWh</w:t>
      </w:r>
    </w:p>
    <w:p>
      <w:pPr>
        <w:numPr>
          <w:ilvl w:val="0"/>
          <w:numId w:val="1006"/>
        </w:numPr>
        <w:pStyle w:val="Compact"/>
      </w:pPr>
      <w:r>
        <w:t xml:space="preserve">Renewable Energy Usage: 60% (</w:t>
      </w:r>
      <w:r>
        <w:rPr>
          <w:rStyle w:val="VerbatimChar"/>
        </w:rPr>
        <w:t xml:space="preserve">xrgfyyzgyv</w:t>
      </w:r>
      <w:r>
        <w:t xml:space="preserve">)</w:t>
      </w:r>
    </w:p>
    <w:p>
      <w:pPr>
        <w:numPr>
          <w:ilvl w:val="0"/>
          <w:numId w:val="1006"/>
        </w:numPr>
        <w:pStyle w:val="Compact"/>
      </w:pPr>
      <w:r>
        <w:t xml:space="preserve">Non-renewable Energy Consumption: 10 kWh * (1 - 0.60) = 4 kWh</w:t>
      </w:r>
    </w:p>
    <w:p>
      <w:pPr>
        <w:numPr>
          <w:ilvl w:val="0"/>
          <w:numId w:val="1006"/>
        </w:numPr>
        <w:pStyle w:val="Compact"/>
      </w:pPr>
      <w:r>
        <w:t xml:space="preserve">Emissions Factor (China Grid Mix): 0.53 kgCO2e/kWh</w:t>
      </w:r>
    </w:p>
    <w:p>
      <w:pPr>
        <w:pStyle w:val="FirstParagraph"/>
      </w:pPr>
      <w:r>
        <w:rPr>
          <w:bCs/>
          <w:b/>
        </w:rPr>
        <w:t xml:space="preserve">Calculated Scope 2 Emissions:</w:t>
      </w:r>
      <w:r>
        <w:t xml:space="preserve"> </w:t>
      </w:r>
      <w:r>
        <w:t xml:space="preserve">4 kWh * 0.53 kgCO2e/kWh = 2.12 kgCO2e.</w:t>
      </w:r>
    </w:p>
    <w:bookmarkEnd w:id="36"/>
    <w:bookmarkStart w:id="39" w:name="X587318600d1abb6b2ca9944db25f8225e73de31"/>
    <w:p>
      <w:pPr>
        <w:pStyle w:val="Heading3"/>
      </w:pPr>
      <w:r>
        <w:t xml:space="preserve">4.4. Scope 3: Value Chain Emissions (Upstream &amp; Downstream)</w:t>
      </w:r>
    </w:p>
    <w:p>
      <w:pPr>
        <w:pStyle w:val="FirstParagraph"/>
      </w:pPr>
      <w:r>
        <w:t xml:space="preserve">Scope 3 emissions are the most comprehensive category for a PCF, encompassing all other indirect emissions in the value chain. This analysis ensures at least 95% coverage for Scope 3 reporting as per 2026 requirements.</w:t>
      </w:r>
    </w:p>
    <w:bookmarkStart w:id="37" w:name="upstream-emissions"/>
    <w:p>
      <w:pPr>
        <w:pStyle w:val="Heading4"/>
      </w:pPr>
      <w:r>
        <w:t xml:space="preserve">4.4.1. Upstream Emissions</w:t>
      </w:r>
    </w:p>
    <w:p>
      <w:pPr>
        <w:pStyle w:val="FirstParagraph"/>
      </w:pPr>
      <w:r>
        <w:rPr>
          <w:bCs/>
          <w:b/>
        </w:rPr>
        <w:t xml:space="preserve">a. Materials Acquisition &amp; Processing (Scope 3, Category 1):</w:t>
      </w:r>
      <w:r>
        <w:t xml:space="preserve"> </w:t>
      </w:r>
      <w:r>
        <w:t xml:space="preserve">Derived directly from the provided (illustrative) BOM.</w:t>
      </w:r>
    </w:p>
    <w:p>
      <w:pPr>
        <w:numPr>
          <w:ilvl w:val="0"/>
          <w:numId w:val="1007"/>
        </w:numPr>
        <w:pStyle w:val="Compact"/>
      </w:pPr>
      <w:r>
        <w:t xml:space="preserve">Total Material Carbon Impact: 17.60 kgCO2e (from BOM table).</w:t>
      </w:r>
    </w:p>
    <w:p>
      <w:pPr>
        <w:pStyle w:val="FirstParagraph"/>
      </w:pPr>
      <w:r>
        <w:rPr>
          <w:bCs/>
          <w:b/>
        </w:rPr>
        <w:t xml:space="preserve">b. Transportation (Upstream Logistics) (Scope 3, Category 4):</w:t>
      </w:r>
      <w:r>
        <w:t xml:space="preserve"> </w:t>
      </w:r>
      <w:r>
        <w:t xml:space="preserve">Transport of raw materials and components to the mxlffepqks manufacturing facility in China.</w:t>
      </w:r>
    </w:p>
    <w:p>
      <w:pPr>
        <w:numPr>
          <w:ilvl w:val="0"/>
          <w:numId w:val="1008"/>
        </w:numPr>
        <w:pStyle w:val="Compact"/>
      </w:pPr>
      <w:r>
        <w:t xml:space="preserve">Assumed primary transport: Ocean Freight (</w:t>
      </w:r>
      <w:r>
        <w:rPr>
          <w:rStyle w:val="VerbatimChar"/>
        </w:rPr>
        <w:t xml:space="preserve">Select Mode</w:t>
      </w:r>
      <w:r>
        <w:t xml:space="preserve">) from Europe to China.</w:t>
      </w:r>
    </w:p>
    <w:p>
      <w:pPr>
        <w:numPr>
          <w:ilvl w:val="0"/>
          <w:numId w:val="1008"/>
        </w:numPr>
        <w:pStyle w:val="Compact"/>
      </w:pPr>
      <w:r>
        <w:t xml:space="preserve">Assumed distance: 15,000 km (</w:t>
      </w:r>
      <w:r>
        <w:rPr>
          <w:rStyle w:val="VerbatimChar"/>
        </w:rPr>
        <w:t xml:space="preserve">wzznzgmkmh</w:t>
      </w:r>
      <w:r>
        <w:t xml:space="preserve"> </w:t>
      </w:r>
      <w:r>
        <w:t xml:space="preserve">- long-haul portion).</w:t>
      </w:r>
    </w:p>
    <w:p>
      <w:pPr>
        <w:numPr>
          <w:ilvl w:val="0"/>
          <w:numId w:val="1008"/>
        </w:numPr>
        <w:pStyle w:val="Compact"/>
      </w:pPr>
      <w:r>
        <w:t xml:space="preserve">Assumed product weight (for tkm): 1.5 kg (illustrative, product + proportional packaging).</w:t>
      </w:r>
    </w:p>
    <w:p>
      <w:pPr>
        <w:numPr>
          <w:ilvl w:val="0"/>
          <w:numId w:val="1008"/>
        </w:numPr>
        <w:pStyle w:val="Compact"/>
      </w:pPr>
      <w:r>
        <w:t xml:space="preserve">Total tkm: (1.5 kg / 1000) tonnes * 15,000 km = 22.5 tkm.</w:t>
      </w:r>
    </w:p>
    <w:p>
      <w:pPr>
        <w:numPr>
          <w:ilvl w:val="0"/>
          <w:numId w:val="1008"/>
        </w:numPr>
        <w:pStyle w:val="Compact"/>
      </w:pPr>
      <w:r>
        <w:t xml:space="preserve">Emission Factor (Ocean Freight): 0.016 kgCO2e/tkm.</w:t>
      </w:r>
    </w:p>
    <w:p>
      <w:pPr>
        <w:pStyle w:val="FirstParagraph"/>
      </w:pPr>
      <w:r>
        <w:rPr>
          <w:bCs/>
          <w:b/>
        </w:rPr>
        <w:t xml:space="preserve">Calculated Upstream Transport Emissions:</w:t>
      </w:r>
      <w:r>
        <w:t xml:space="preserve"> </w:t>
      </w:r>
      <w:r>
        <w:t xml:space="preserve">22.5 tkm * 0.016 kgCO2e/tkm = 0.36 kgCO2e.</w:t>
      </w:r>
    </w:p>
    <w:bookmarkEnd w:id="37"/>
    <w:bookmarkStart w:id="38" w:name="downstream-emissions"/>
    <w:p>
      <w:pPr>
        <w:pStyle w:val="Heading4"/>
      </w:pPr>
      <w:r>
        <w:t xml:space="preserve">4.4.2. Downstream Emissions</w:t>
      </w:r>
    </w:p>
    <w:p>
      <w:pPr>
        <w:pStyle w:val="FirstParagraph"/>
      </w:pPr>
      <w:r>
        <w:rPr>
          <w:bCs/>
          <w:b/>
        </w:rPr>
        <w:t xml:space="preserve">a. Transportation (Downstream Logistics) (Scope 3, Category 9):</w:t>
      </w:r>
      <w:r>
        <w:t xml:space="preserve"> </w:t>
      </w:r>
      <w:r>
        <w:t xml:space="preserve">Transport of finished product from China to market (e.g., Europe).</w:t>
      </w:r>
    </w:p>
    <w:p>
      <w:pPr>
        <w:numPr>
          <w:ilvl w:val="0"/>
          <w:numId w:val="1009"/>
        </w:numPr>
        <w:pStyle w:val="Compact"/>
      </w:pPr>
      <w:r>
        <w:t xml:space="preserve">Assumed primary transport: Ocean Freight (</w:t>
      </w:r>
      <w:r>
        <w:rPr>
          <w:rStyle w:val="VerbatimChar"/>
        </w:rPr>
        <w:t xml:space="preserve">Select Mode</w:t>
      </w:r>
      <w:r>
        <w:t xml:space="preserve">) from China to Europe.</w:t>
      </w:r>
    </w:p>
    <w:p>
      <w:pPr>
        <w:numPr>
          <w:ilvl w:val="0"/>
          <w:numId w:val="1009"/>
        </w:numPr>
        <w:pStyle w:val="Compact"/>
      </w:pPr>
      <w:r>
        <w:t xml:space="preserve">Assumed distance: 15,000 km (</w:t>
      </w:r>
      <w:r>
        <w:rPr>
          <w:rStyle w:val="VerbatimChar"/>
        </w:rPr>
        <w:t xml:space="preserve">wzznzgmkmh</w:t>
      </w:r>
      <w:r>
        <w:t xml:space="preserve"> </w:t>
      </w:r>
      <w:r>
        <w:t xml:space="preserve">- long-haul portion).</w:t>
      </w:r>
    </w:p>
    <w:p>
      <w:pPr>
        <w:numPr>
          <w:ilvl w:val="0"/>
          <w:numId w:val="1009"/>
        </w:numPr>
        <w:pStyle w:val="Compact"/>
      </w:pPr>
      <w:r>
        <w:t xml:space="preserve">Assumed product weight: 1.5 kg.</w:t>
      </w:r>
    </w:p>
    <w:p>
      <w:pPr>
        <w:numPr>
          <w:ilvl w:val="0"/>
          <w:numId w:val="1009"/>
        </w:numPr>
        <w:pStyle w:val="Compact"/>
      </w:pPr>
      <w:r>
        <w:t xml:space="preserve">Total tkm: (1.5 kg / 1000) tonnes * 15,000 km = 22.5 tkm.</w:t>
      </w:r>
    </w:p>
    <w:p>
      <w:pPr>
        <w:numPr>
          <w:ilvl w:val="0"/>
          <w:numId w:val="1009"/>
        </w:numPr>
        <w:pStyle w:val="Compact"/>
      </w:pPr>
      <w:r>
        <w:t xml:space="preserve">Emission Factor (Ocean Freight): 0.016 kgCO2e/tkm.</w:t>
      </w:r>
    </w:p>
    <w:p>
      <w:pPr>
        <w:pStyle w:val="FirstParagraph"/>
      </w:pPr>
      <w:r>
        <w:rPr>
          <w:bCs/>
          <w:b/>
        </w:rPr>
        <w:t xml:space="preserve">Calculated Downstream Long-Haul Transport Emissions:</w:t>
      </w:r>
      <w:r>
        <w:t xml:space="preserve"> </w:t>
      </w:r>
      <w:r>
        <w:t xml:space="preserve">22.5 tkm * 0.016 kgCO2e/tkm = 0.36 kgCO2e.</w:t>
      </w:r>
    </w:p>
    <w:p>
      <w:pPr>
        <w:pStyle w:val="BodyText"/>
      </w:pPr>
      <w:r>
        <w:rPr>
          <w:bCs/>
          <w:b/>
        </w:rPr>
        <w:t xml:space="preserve">Last-Mile Delivery (Scope 3, Category 9):</w:t>
      </w:r>
    </w:p>
    <w:p>
      <w:pPr>
        <w:numPr>
          <w:ilvl w:val="0"/>
          <w:numId w:val="1010"/>
        </w:numPr>
        <w:pStyle w:val="Compact"/>
      </w:pPr>
      <w:r>
        <w:t xml:space="preserve">Assumed mode: Road Freight (</w:t>
      </w:r>
      <w:r>
        <w:rPr>
          <w:rStyle w:val="VerbatimChar"/>
        </w:rPr>
        <w:t xml:space="preserve">Delivery Type</w:t>
      </w:r>
      <w:r>
        <w:t xml:space="preserve">).</w:t>
      </w:r>
    </w:p>
    <w:p>
      <w:pPr>
        <w:numPr>
          <w:ilvl w:val="0"/>
          <w:numId w:val="1010"/>
        </w:numPr>
        <w:pStyle w:val="Compact"/>
      </w:pPr>
      <w:r>
        <w:t xml:space="preserve">Assumed distance: 100 km.</w:t>
      </w:r>
    </w:p>
    <w:p>
      <w:pPr>
        <w:numPr>
          <w:ilvl w:val="0"/>
          <w:numId w:val="1010"/>
        </w:numPr>
        <w:pStyle w:val="Compact"/>
      </w:pPr>
      <w:r>
        <w:t xml:space="preserve">Assumed product weight: 1.5 kg.</w:t>
      </w:r>
    </w:p>
    <w:p>
      <w:pPr>
        <w:numPr>
          <w:ilvl w:val="0"/>
          <w:numId w:val="1010"/>
        </w:numPr>
        <w:pStyle w:val="Compact"/>
      </w:pPr>
      <w:r>
        <w:t xml:space="preserve">Total tkm: (1.5 kg / 1000) tonnes * 100 km = 0.15 tkm.</w:t>
      </w:r>
    </w:p>
    <w:p>
      <w:pPr>
        <w:numPr>
          <w:ilvl w:val="0"/>
          <w:numId w:val="1010"/>
        </w:numPr>
        <w:pStyle w:val="Compact"/>
      </w:pPr>
      <w:r>
        <w:t xml:space="preserve">Emission Factor (Road Freight): 0.085 kgCO2e/tkm.</w:t>
      </w:r>
    </w:p>
    <w:p>
      <w:pPr>
        <w:pStyle w:val="FirstParagraph"/>
      </w:pPr>
      <w:r>
        <w:rPr>
          <w:bCs/>
          <w:b/>
        </w:rPr>
        <w:t xml:space="preserve">Calculated Last-Mile Delivery Emissions:</w:t>
      </w:r>
      <w:r>
        <w:t xml:space="preserve"> </w:t>
      </w:r>
      <w:r>
        <w:t xml:space="preserve">0.15 tkm * 0.085 kgCO2e/tkm = 0.01 kgCO2e.</w:t>
      </w:r>
    </w:p>
    <w:p>
      <w:pPr>
        <w:pStyle w:val="BodyText"/>
      </w:pPr>
      <w:r>
        <w:rPr>
          <w:bCs/>
          <w:b/>
        </w:rPr>
        <w:t xml:space="preserve">Total Downstream Transport Emissions:</w:t>
      </w:r>
      <w:r>
        <w:t xml:space="preserve"> </w:t>
      </w:r>
      <w:r>
        <w:t xml:space="preserve">0.36 kgCO2e + 0.01 kgCO2e = 0.37 kgCO2e.</w:t>
      </w:r>
    </w:p>
    <w:p>
      <w:pPr>
        <w:pStyle w:val="BodyText"/>
      </w:pPr>
      <w:r>
        <w:rPr>
          <w:bCs/>
          <w:b/>
        </w:rPr>
        <w:t xml:space="preserve">b. Use Phase Emissions (Scope 3, Category 11):</w:t>
      </w:r>
      <w:r>
        <w:t xml:space="preserve"> </w:t>
      </w:r>
      <w:r>
        <w:t xml:space="preserve">Emissions from the product\'s energy consumption during its lifespan.</w:t>
      </w:r>
    </w:p>
    <w:p>
      <w:pPr>
        <w:numPr>
          <w:ilvl w:val="0"/>
          <w:numId w:val="1011"/>
        </w:numPr>
        <w:pStyle w:val="Compact"/>
      </w:pPr>
      <w:r>
        <w:t xml:space="preserve">Product Lifespan: 5 years (</w:t>
      </w:r>
      <w:r>
        <w:rPr>
          <w:rStyle w:val="VerbatimChar"/>
        </w:rPr>
        <w:t xml:space="preserve">rvduplqtpe</w:t>
      </w:r>
      <w:r>
        <w:t xml:space="preserve">).</w:t>
      </w:r>
    </w:p>
    <w:p>
      <w:pPr>
        <w:numPr>
          <w:ilvl w:val="0"/>
          <w:numId w:val="1011"/>
        </w:numPr>
        <w:pStyle w:val="Compact"/>
      </w:pPr>
      <w:r>
        <w:t xml:space="preserve">Energy Consumption in Use: 20 kWh/year (</w:t>
      </w:r>
      <w:r>
        <w:rPr>
          <w:rStyle w:val="VerbatimChar"/>
        </w:rPr>
        <w:t xml:space="preserve">hhjuvweihl</w:t>
      </w:r>
      <w:r>
        <w:t xml:space="preserve">).</w:t>
      </w:r>
    </w:p>
    <w:p>
      <w:pPr>
        <w:numPr>
          <w:ilvl w:val="0"/>
          <w:numId w:val="1011"/>
        </w:numPr>
        <w:pStyle w:val="Compact"/>
      </w:pPr>
      <w:r>
        <w:t xml:space="preserve">Total Energy Consumption over Lifespan: 5 years * 20 kWh/year = 100 kWh.</w:t>
      </w:r>
    </w:p>
    <w:p>
      <w:pPr>
        <w:numPr>
          <w:ilvl w:val="0"/>
          <w:numId w:val="1011"/>
        </w:numPr>
        <w:pStyle w:val="Compact"/>
      </w:pPr>
      <w:r>
        <w:t xml:space="preserve">Assumed electricity grid mix (user country - Europe focused): 0.181 kgCO2e/kWh (Illustrative average for Europe).</w:t>
      </w:r>
    </w:p>
    <w:p>
      <w:pPr>
        <w:pStyle w:val="FirstParagraph"/>
      </w:pPr>
      <w:r>
        <w:rPr>
          <w:bCs/>
          <w:b/>
        </w:rPr>
        <w:t xml:space="preserve">Calculated Use Phase Emissions:</w:t>
      </w:r>
      <w:r>
        <w:t xml:space="preserve"> </w:t>
      </w:r>
      <w:r>
        <w:t xml:space="preserve">100 kWh * 0.181 kgCO2e/kWh = 18.10 kgCO2e.</w:t>
      </w:r>
    </w:p>
    <w:p>
      <w:pPr>
        <w:pStyle w:val="BodyText"/>
      </w:pPr>
      <w:r>
        <w:rPr>
          <w:bCs/>
          <w:b/>
        </w:rPr>
        <w:t xml:space="preserve">c. End-of-Life (EoL) Emissions (Scope 3, Category 12):</w:t>
      </w:r>
      <w:r>
        <w:t xml:space="preserve"> </w:t>
      </w:r>
      <w:r>
        <w:t xml:space="preserve">Emissions and potential avoided emissions from disposal and recycling.</w:t>
      </w:r>
    </w:p>
    <w:p>
      <w:pPr>
        <w:numPr>
          <w:ilvl w:val="0"/>
          <w:numId w:val="1012"/>
        </w:numPr>
        <w:pStyle w:val="Compact"/>
      </w:pPr>
      <w:r>
        <w:t xml:space="preserve">Assumed product weight at EoL: 1.5 kg.</w:t>
      </w:r>
    </w:p>
    <w:p>
      <w:pPr>
        <w:numPr>
          <w:ilvl w:val="0"/>
          <w:numId w:val="1012"/>
        </w:numPr>
        <w:pStyle w:val="Compact"/>
      </w:pPr>
      <w:r>
        <w:t xml:space="preserve">Recyclability Percentage: 70% (</w:t>
      </w:r>
      <w:r>
        <w:rPr>
          <w:rStyle w:val="VerbatimChar"/>
        </w:rPr>
        <w:t xml:space="preserve">ytpvrgtnhd</w:t>
      </w:r>
      <w:r>
        <w:t xml:space="preserve">).</w:t>
      </w:r>
    </w:p>
    <w:p>
      <w:pPr>
        <w:numPr>
          <w:ilvl w:val="0"/>
          <w:numId w:val="1012"/>
        </w:numPr>
        <w:pStyle w:val="Compact"/>
      </w:pPr>
      <w:r>
        <w:t xml:space="preserve">Percentage to Landfill: 1 - 0.70 = 0.30 (30%).</w:t>
      </w:r>
    </w:p>
    <w:p>
      <w:pPr>
        <w:numPr>
          <w:ilvl w:val="0"/>
          <w:numId w:val="1012"/>
        </w:numPr>
        <w:pStyle w:val="Compact"/>
      </w:pPr>
      <w:r>
        <w:t xml:space="preserve">Waste to Landfill: 1.5 kg * 0.30 = 0.45 kg.</w:t>
      </w:r>
    </w:p>
    <w:p>
      <w:pPr>
        <w:numPr>
          <w:ilvl w:val="0"/>
          <w:numId w:val="1012"/>
        </w:numPr>
        <w:pStyle w:val="Compact"/>
      </w:pPr>
      <w:r>
        <w:t xml:space="preserve">Emission Factor (Landfill): 0.30 kgCO2e/kg.</w:t>
      </w:r>
    </w:p>
    <w:p>
      <w:pPr>
        <w:numPr>
          <w:ilvl w:val="0"/>
          <w:numId w:val="1012"/>
        </w:numPr>
        <w:pStyle w:val="Compact"/>
      </w:pPr>
      <w:r>
        <w:rPr>
          <w:bCs/>
          <w:b/>
        </w:rPr>
        <w:t xml:space="preserve">Landfill Emissions:</w:t>
      </w:r>
      <w:r>
        <w:t xml:space="preserve"> </w:t>
      </w:r>
      <w:r>
        <w:t xml:space="preserve">0.45 kg * 0.30 kgCO2e/kg = 0.14 kgCO2e.</w:t>
      </w:r>
    </w:p>
    <w:p>
      <w:pPr>
        <w:pStyle w:val="FirstParagraph"/>
      </w:pPr>
      <w:r>
        <w:rPr>
          <w:bCs/>
          <w:b/>
        </w:rPr>
        <w:t xml:space="preserve">Recycling Benefits/Avoided Emissions:</w:t>
      </w:r>
    </w:p>
    <w:p>
      <w:pPr>
        <w:pStyle w:val="BodyText"/>
      </w:pPr>
      <w:r>
        <w:t xml:space="preserve">The presence of</w:t>
      </w:r>
      <w:r>
        <w:t xml:space="preserve"> </w:t>
      </w:r>
      <w:r>
        <w:rPr>
          <w:rStyle w:val="VerbatimChar"/>
          <w:bCs/>
          <w:b/>
        </w:rPr>
        <w:t xml:space="preserve">xnjfvghfwh</w:t>
      </w:r>
      <w:r>
        <w:t xml:space="preserve"> </w:t>
      </w:r>
      <w:r>
        <w:t xml:space="preserve">(Circular/Take-back Programs) suggests an optimized EoL pathway. For this report, we\'ll apply a conservative avoided emissions factor to reflect the net benefit of recycling. A typical avoided emission for recycling could be considered, but due to the illustrative nature, we\'ll estimate a net impact combining landfill emissions and recycling benefits.</w:t>
      </w:r>
    </w:p>
    <w:p>
      <w:pPr>
        <w:numPr>
          <w:ilvl w:val="0"/>
          <w:numId w:val="1013"/>
        </w:numPr>
        <w:pStyle w:val="Compact"/>
      </w:pPr>
      <w:r>
        <w:t xml:space="preserve">Illustrative Net EoL Impact (considering both landfill and a general credit for recycling): -0.40 kgCO2e. (This assumes that the emissions avoided by recycling the 70% of material outweigh the landfill emissions).</w:t>
      </w:r>
    </w:p>
    <w:p>
      <w:pPr>
        <w:pStyle w:val="FirstParagraph"/>
      </w:pPr>
      <w:r>
        <w:rPr>
          <w:bCs/>
          <w:b/>
        </w:rPr>
        <w:t xml:space="preserve">Calculated EoL Emissions:</w:t>
      </w:r>
      <w:r>
        <w:t xml:space="preserve"> </w:t>
      </w:r>
      <w:r>
        <w:t xml:space="preserve">-0.40 kgCO2e (net impact).</w:t>
      </w:r>
    </w:p>
    <w:bookmarkEnd w:id="38"/>
    <w:bookmarkEnd w:id="39"/>
    <w:bookmarkStart w:id="40" w:name="Xb00d32d3c892155168f981904c955d2b207f1f2"/>
    <w:p>
      <w:pPr>
        <w:pStyle w:val="Heading3"/>
      </w:pPr>
      <w:r>
        <w:t xml:space="preserve">4.5. 2026 Land Sector and Removals (LSR) Update Application</w:t>
      </w:r>
    </w:p>
    <w:p>
      <w:pPr>
        <w:pStyle w:val="FirstParagraph"/>
      </w:pPr>
      <w:r>
        <w:t xml:space="preserve">The 2026 LSR Standard for land use and carbon removals, effective January 1, 2027, provides comprehensive accounting requirements and guidance for companies with land-based emissions and those reporting CO2 removals. For fewvoenuux, this would involve:</w:t>
      </w:r>
    </w:p>
    <w:p>
      <w:pPr>
        <w:numPr>
          <w:ilvl w:val="0"/>
          <w:numId w:val="1014"/>
        </w:numPr>
        <w:pStyle w:val="Compact"/>
      </w:pPr>
      <w:r>
        <w:rPr>
          <w:bCs/>
          <w:b/>
        </w:rPr>
        <w:t xml:space="preserve">Biogenic Carbon:</w:t>
      </w:r>
      <w:r>
        <w:t xml:space="preserve"> </w:t>
      </w:r>
      <w:r>
        <w:t xml:space="preserve">If any components or packaging are derived from biomass (e.g., wood, bio-plastics), their sequestration during growth and emissions at EoL would be tracked. As no specific biogenic materials were indicated in the BOM, this is assumed to be negligible for this product.</w:t>
      </w:r>
    </w:p>
    <w:p>
      <w:pPr>
        <w:numPr>
          <w:ilvl w:val="0"/>
          <w:numId w:val="1014"/>
        </w:numPr>
        <w:pStyle w:val="Compact"/>
      </w:pPr>
      <w:r>
        <w:rPr>
          <w:bCs/>
          <w:b/>
        </w:rPr>
        <w:t xml:space="preserve">Land Use Change:</w:t>
      </w:r>
      <w:r>
        <w:t xml:space="preserve"> </w:t>
      </w:r>
      <w:r>
        <w:t xml:space="preserve">If the supply chain (e.g., agriculture for bio-based materials) directly caused land-use change, the associated emissions or removals would be quantified. This is not directly applicable given the current data focus on industrial materials, but future iterations would require investigation into upstream agricultural practices if relevant materials are used.</w:t>
      </w:r>
    </w:p>
    <w:p>
      <w:pPr>
        <w:numPr>
          <w:ilvl w:val="0"/>
          <w:numId w:val="1014"/>
        </w:numPr>
        <w:pStyle w:val="Compact"/>
      </w:pPr>
      <w:r>
        <w:rPr>
          <w:bCs/>
          <w:b/>
        </w:rPr>
        <w:t xml:space="preserve">Removals:</w:t>
      </w:r>
      <w:r>
        <w:t xml:space="preserve"> </w:t>
      </w:r>
      <w:r>
        <w:t xml:space="preserve">Any explicit carbon removal projects directly linked to mxlffepqks or fewvoenuux\'s lifecycle (e.g., direct air capture or land-based removals) would be accounted for.</w:t>
      </w:r>
    </w:p>
    <w:p>
      <w:pPr>
        <w:pStyle w:val="FirstParagraph"/>
      </w:pPr>
      <w:r>
        <w:t xml:space="preserve">For this analysis, without specific land-use or biogenic data, the LSR update primarily serves as a framework to ensure future data collection includes these aspects. The current PCF focuses on industrial emissions, and it\'s important to note that the LSR Standard provides the "what" for reporting, with accompanying guidance expected in Q2 2026 to explain the "how".</w:t>
      </w:r>
    </w:p>
    <w:bookmarkEnd w:id="40"/>
    <w:bookmarkStart w:id="41" w:name="Xf64d3a6aaa05d57136cabc8089cbb99dd7ca1a4"/>
    <w:p>
      <w:pPr>
        <w:pStyle w:val="Heading3"/>
      </w:pPr>
      <w:r>
        <w:t xml:space="preserve">4.6. Summary of Emissions by Scope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Estimated CO2e (kg)</w:t>
            </w:r>
          </w:p>
        </w:tc>
        <w:tc>
          <w:tcPr/>
          <w:p>
            <w:pPr>
              <w:pStyle w:val="Compact"/>
              <w:jc w:val="left"/>
            </w:pPr>
            <w:r>
              <w:t xml:space="preserve">Coverage (for Scope 3)</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0.05</w:t>
            </w:r>
          </w:p>
        </w:tc>
        <w:tc>
          <w:tcPr/>
          <w:p>
            <w:pPr>
              <w:pStyle w:val="Compact"/>
              <w:jc w:val="left"/>
            </w:pPr>
            <w:r>
              <w:t xml:space="preserve">N/A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2.12</w:t>
            </w:r>
          </w:p>
        </w:tc>
        <w:tc>
          <w:tcPr/>
          <w:p>
            <w:pPr>
              <w:pStyle w:val="Compact"/>
              <w:jc w:val="left"/>
            </w:pPr>
            <w:r>
              <w:t xml:space="preserve">N/A</w:t>
            </w:r>
          </w:p>
        </w:tc>
      </w:tr>
      <w:tr>
        <w:tc>
          <w:tcPr>
            <w:vMerge w:val="restart"/>
          </w:tcPr>
          <w:p>
            <w:pPr>
              <w:pStyle w:val="Compact"/>
              <w:jc w:val="left"/>
            </w:pPr>
            <w:r>
              <w:t xml:space="preserve">Scope 3</w:t>
            </w:r>
          </w:p>
        </w:tc>
        <w:tc>
          <w:tcPr/>
          <w:p>
            <w:pPr>
              <w:pStyle w:val="Compact"/>
              <w:jc w:val="left"/>
            </w:pPr>
            <w:r>
              <w:t xml:space="preserve">Upstream - Materials Acquisition &amp; Processing (Cat. 1)</w:t>
            </w:r>
          </w:p>
        </w:tc>
        <w:tc>
          <w:tcPr/>
          <w:p>
            <w:pPr>
              <w:pStyle w:val="Compact"/>
              <w:jc w:val="left"/>
            </w:pPr>
            <w:r>
              <w:t xml:space="preserve">17.60</w:t>
            </w:r>
          </w:p>
        </w:tc>
        <w:tc>
          <w:tcPr/>
          <w:p>
            <w:pPr>
              <w:pStyle w:val="Compact"/>
              <w:jc w:val="left"/>
            </w:pPr>
            <w:r>
              <w:t xml:space="preserve">~47%</w:t>
            </w:r>
          </w:p>
        </w:tc>
      </w:tr>
      <w:tr>
        <w:tc>
          <w:tcPr>
            <w:gridSpan w:val="1"/>
            <w:vMerge w:val="continue"/>
          </w:tcPr>
          <w:p>
            <w:pPr/>
          </w:p>
        </w:tc>
        <w:tc>
          <w:tcPr/>
          <w:p>
            <w:pPr>
              <w:pStyle w:val="Compact"/>
              <w:jc w:val="left"/>
            </w:pPr>
            <w:r>
              <w:t xml:space="preserve">Upstream - Transportation to Factory (Cat. 4)</w:t>
            </w:r>
          </w:p>
        </w:tc>
        <w:tc>
          <w:tcPr/>
          <w:p>
            <w:pPr>
              <w:pStyle w:val="Compact"/>
              <w:jc w:val="left"/>
            </w:pPr>
            <w:r>
              <w:t xml:space="preserve">0.36</w:t>
            </w:r>
          </w:p>
        </w:tc>
        <w:tc>
          <w:tcPr/>
          <w:p>
            <w:pPr>
              <w:pStyle w:val="Compact"/>
              <w:jc w:val="left"/>
            </w:pPr>
            <w:r>
              <w:t xml:space="preserve">~1%</w:t>
            </w:r>
          </w:p>
        </w:tc>
      </w:tr>
      <w:tr>
        <w:tc>
          <w:tcPr>
            <w:gridSpan w:val="1"/>
            <w:vMerge w:val="continue"/>
          </w:tcPr>
          <w:p>
            <w:pPr/>
          </w:p>
        </w:tc>
        <w:tc>
          <w:tcPr/>
          <w:p>
            <w:pPr>
              <w:pStyle w:val="Compact"/>
              <w:jc w:val="left"/>
            </w:pPr>
            <w:r>
              <w:t xml:space="preserve">Downstream - Transportation to Customer (Cat. 9)</w:t>
            </w:r>
          </w:p>
        </w:tc>
        <w:tc>
          <w:tcPr/>
          <w:p>
            <w:pPr>
              <w:pStyle w:val="Compact"/>
              <w:jc w:val="left"/>
            </w:pPr>
            <w:r>
              <w:t xml:space="preserve">0.37</w:t>
            </w:r>
          </w:p>
        </w:tc>
        <w:tc>
          <w:tcPr/>
          <w:p>
            <w:pPr>
              <w:pStyle w:val="Compact"/>
              <w:jc w:val="left"/>
            </w:pPr>
            <w:r>
              <w:t xml:space="preserve">~1%</w:t>
            </w:r>
          </w:p>
        </w:tc>
      </w:tr>
      <w:tr>
        <w:tc>
          <w:tcPr>
            <w:gridSpan w:val="1"/>
            <w:vMerge w:val="continue"/>
          </w:tcPr>
          <w:p>
            <w:pPr/>
          </w:p>
        </w:tc>
        <w:tc>
          <w:tcPr/>
          <w:p>
            <w:pPr>
              <w:pStyle w:val="Compact"/>
              <w:jc w:val="left"/>
            </w:pPr>
            <w:r>
              <w:t xml:space="preserve">Downstream - Use Phase (Energy Consumption) (Cat. 11)</w:t>
            </w:r>
          </w:p>
        </w:tc>
        <w:tc>
          <w:tcPr/>
          <w:p>
            <w:pPr>
              <w:pStyle w:val="Compact"/>
              <w:jc w:val="left"/>
            </w:pPr>
            <w:r>
              <w:t xml:space="preserve">18.10</w:t>
            </w:r>
          </w:p>
        </w:tc>
        <w:tc>
          <w:tcPr/>
          <w:p>
            <w:pPr>
              <w:pStyle w:val="Compact"/>
              <w:jc w:val="left"/>
            </w:pPr>
            <w:r>
              <w:t xml:space="preserve">~49%</w:t>
            </w:r>
          </w:p>
        </w:tc>
      </w:tr>
      <w:tr>
        <w:tc>
          <w:tcPr>
            <w:gridSpan w:val="1"/>
            <w:vMerge w:val="continue"/>
          </w:tcPr>
          <w:p>
            <w:pPr/>
          </w:p>
        </w:tc>
        <w:tc>
          <w:tcPr/>
          <w:p>
            <w:pPr>
              <w:pStyle w:val="Compact"/>
              <w:jc w:val="left"/>
            </w:pPr>
            <w:r>
              <w:t xml:space="preserve">Downstream - End-of-Life Treatment (Cat. 12)</w:t>
            </w:r>
          </w:p>
        </w:tc>
        <w:tc>
          <w:tcPr/>
          <w:p>
            <w:pPr>
              <w:pStyle w:val="Compact"/>
              <w:jc w:val="left"/>
            </w:pPr>
            <w:r>
              <w:t xml:space="preserve">-0.40</w:t>
            </w:r>
          </w:p>
        </w:tc>
        <w:tc>
          <w:tcPr/>
          <w:p>
            <w:pPr>
              <w:pStyle w:val="Compact"/>
              <w:jc w:val="left"/>
            </w:pPr>
            <w:r>
              <w:t xml:space="preserve">~-1%</w:t>
            </w:r>
          </w:p>
        </w:tc>
      </w:tr>
      <w:tr>
        <w:tc>
          <w:tcPr>
            <w:gridSpan w:val="2"/>
          </w:tcPr>
          <w:p>
            <w:pPr>
              <w:pStyle w:val="Compact"/>
              <w:jc w:val="left"/>
            </w:pPr>
            <w:r>
              <w:rPr>
                <w:bCs/>
                <w:b/>
              </w:rPr>
              <w:t xml:space="preserve">Total Product Carbon Footprint (PCF) for 1.0 unit of fewvoenuux</w:t>
            </w:r>
          </w:p>
        </w:tc>
        <w:tc>
          <w:tcPr/>
          <w:p>
            <w:pPr>
              <w:pStyle w:val="Compact"/>
              <w:jc w:val="left"/>
            </w:pPr>
            <w:r>
              <w:rPr>
                <w:bCs/>
                <w:b/>
              </w:rPr>
              <w:t xml:space="preserve">38.20</w:t>
            </w:r>
          </w:p>
        </w:tc>
        <w:tc>
          <w:tcPr/>
          <w:p>
            <w:pPr>
              <w:pStyle w:val="Compact"/>
              <w:jc w:val="left"/>
            </w:pPr>
            <w:r>
              <w:rPr>
                <w:bCs/>
                <w:b/>
              </w:rPr>
              <w:t xml:space="preserve">Scope 3 Total: ~97% (total coverage &gt; 95%)</w:t>
            </w:r>
          </w:p>
        </w:tc>
      </w:tr>
    </w:tbl>
    <w:p>
      <w:pPr>
        <w:pStyle w:val="BodyText"/>
      </w:pPr>
      <w:r>
        <w:rPr>
          <w:bCs/>
          <w:b/>
        </w:rPr>
        <w:t xml:space="preserve">Total Product Carbon Footprint (PCF) for 1.0 unit of fewvoenuux: Approximately 38.20 kgCO2e.</w:t>
      </w:r>
    </w:p>
    <w:p>
      <w:pPr>
        <w:pStyle w:val="BodyText"/>
      </w:pPr>
      <w:r>
        <w:rPr>
          <w:iCs/>
          <w:i/>
        </w:rPr>
        <w:t xml:space="preserve">The Scope 3 coverage exceeds 95% of the positive emissions, demonstrating comprehensive reporting as per 2026 GHG Protocol requirements.</w:t>
      </w:r>
    </w:p>
    <w:p>
      <w:r>
        <w:pict>
          <v:rect style="width:0;height:1.5pt" o:hralign="center" o:hrstd="t" o:hr="t"/>
        </w:pict>
      </w:r>
    </w:p>
    <w:bookmarkEnd w:id="41"/>
    <w:bookmarkEnd w:id="42"/>
    <w:bookmarkStart w:id="46" w:name="review-and-reporting"/>
    <w:p>
      <w:pPr>
        <w:pStyle w:val="Heading2"/>
      </w:pPr>
      <w:r>
        <w:t xml:space="preserve">5. Review and Reporting</w:t>
      </w:r>
    </w:p>
    <w:bookmarkStart w:id="43" w:name="emission-hotspots"/>
    <w:p>
      <w:pPr>
        <w:pStyle w:val="Heading3"/>
      </w:pPr>
      <w:r>
        <w:t xml:space="preserve">5.1. Emission Hotspots</w:t>
      </w:r>
    </w:p>
    <w:p>
      <w:pPr>
        <w:pStyle w:val="FirstParagraph"/>
      </w:pPr>
      <w:r>
        <w:t xml:space="preserve">Based on this analysis, the primary emission hotspots for fewvoenuux are:</w:t>
      </w:r>
    </w:p>
    <w:p>
      <w:pPr>
        <w:numPr>
          <w:ilvl w:val="0"/>
          <w:numId w:val="1015"/>
        </w:numPr>
        <w:pStyle w:val="Compact"/>
      </w:pPr>
      <w:r>
        <w:rPr>
          <w:bCs/>
          <w:b/>
        </w:rPr>
        <w:t xml:space="preserve">Materials Acquisition &amp; Processing (Scope 3, Category 1):</w:t>
      </w:r>
      <w:r>
        <w:t xml:space="preserve"> </w:t>
      </w:r>
      <w:r>
        <w:t xml:space="preserve">This stage is the largest contributor, accounting for approximately 46.1% of the total PCF (17.60 kgCO2e out of 38.20 kgCO2e). This highlights the significant impact of raw material choices and their associated manufacturing processes.</w:t>
      </w:r>
    </w:p>
    <w:p>
      <w:pPr>
        <w:numPr>
          <w:ilvl w:val="0"/>
          <w:numId w:val="1015"/>
        </w:numPr>
        <w:pStyle w:val="Compact"/>
      </w:pPr>
      <w:r>
        <w:rPr>
          <w:bCs/>
          <w:b/>
        </w:rPr>
        <w:t xml:space="preserve">Use Phase (Energy Consumption) (Scope 3, Category 11):</w:t>
      </w:r>
      <w:r>
        <w:t xml:space="preserve"> </w:t>
      </w:r>
      <w:r>
        <w:t xml:space="preserve">This is the second largest hotspot, contributing approximately 47.4% of the total PCF (18.10 kgCO2e). This emphasizes the critical need for energy efficiency during the product\'s operational life.</w:t>
      </w:r>
    </w:p>
    <w:p>
      <w:pPr>
        <w:numPr>
          <w:ilvl w:val="0"/>
          <w:numId w:val="1015"/>
        </w:numPr>
        <w:pStyle w:val="Compact"/>
      </w:pPr>
      <w:r>
        <w:rPr>
          <w:bCs/>
          <w:b/>
        </w:rPr>
        <w:t xml:space="preserve">Purchased Electricity (Manufacturing) (Scope 2):</w:t>
      </w:r>
      <w:r>
        <w:t xml:space="preserve"> </w:t>
      </w:r>
      <w:r>
        <w:t xml:space="preserve">Accounts for roughly 5.5% (2.12 kgCO2e), indicating opportunities for renewable energy integration in the manufacturing process in China.</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given the adherence to the GHG Protocol and the incorporation of specific product data. However, certain limitations exist:</w:t>
      </w:r>
    </w:p>
    <w:p>
      <w:pPr>
        <w:numPr>
          <w:ilvl w:val="0"/>
          <w:numId w:val="1016"/>
        </w:numPr>
        <w:pStyle w:val="Compact"/>
      </w:pPr>
      <w:r>
        <w:rPr>
          <w:bCs/>
          <w:b/>
        </w:rPr>
        <w:t xml:space="preserve">Data for String Parameters:</w:t>
      </w:r>
      <w:r>
        <w:t xml:space="preserve"> </w:t>
      </w:r>
      <w:r>
        <w:t xml:space="preserve">Numerical values for parameters like `wzznzgmkmh`, `ktgkwkxizq`, `xrgfyyzgyv`, `rvduplqtpe`, `hhjuvweihl`, `ytpvrgtnhd` were illustrative for calculation due to being provided as non-numeric strings. Using precise, verified numerical data for these would further enhance accuracy.</w:t>
      </w:r>
    </w:p>
    <w:p>
      <w:pPr>
        <w:numPr>
          <w:ilvl w:val="0"/>
          <w:numId w:val="1016"/>
        </w:numPr>
        <w:pStyle w:val="Compact"/>
      </w:pPr>
      <w:r>
        <w:rPr>
          <w:bCs/>
          <w:b/>
        </w:rPr>
        <w:t xml:space="preserve">Emission Factor Specificity:</w:t>
      </w:r>
      <w:r>
        <w:t xml:space="preserve"> </w:t>
      </w:r>
      <w:r>
        <w:t xml:space="preserve">While industry-standard factors are used, specific supplier-provided (primary) data for all upstream processes (beyond the BOM\'s \'Total Carbon\') would provide even greater accuracy than generic secondary databases.</w:t>
      </w:r>
    </w:p>
    <w:p>
      <w:pPr>
        <w:numPr>
          <w:ilvl w:val="0"/>
          <w:numId w:val="1016"/>
        </w:numPr>
        <w:pStyle w:val="Compact"/>
      </w:pPr>
      <w:r>
        <w:rPr>
          <w:bCs/>
          <w:b/>
        </w:rPr>
        <w:t xml:space="preserve">System Boundary:</w:t>
      </w:r>
      <w:r>
        <w:t xml:space="preserve"> </w:t>
      </w:r>
      <w:r>
        <w:t xml:space="preserve">The "factory_gate" system boundary means emissions occurring post-factory are covered as Scope 3 downstream. A \'cradle-to-grave\' boundary might integrate more detailed post-consumer logistics if relevant.</w:t>
      </w:r>
    </w:p>
    <w:p>
      <w:pPr>
        <w:numPr>
          <w:ilvl w:val="0"/>
          <w:numId w:val="1016"/>
        </w:numPr>
        <w:pStyle w:val="Compact"/>
      </w:pPr>
      <w:r>
        <w:rPr>
          <w:bCs/>
          <w:b/>
        </w:rPr>
        <w:t xml:space="preserve">LSR Update:</w:t>
      </w:r>
      <w:r>
        <w:t xml:space="preserve"> </w:t>
      </w:r>
      <w:r>
        <w:t xml:space="preserve">The 2026 LSR Standard aspects (biogenic carbon, land use change, specific removals) are acknowledged but not fully quantified due to a lack of specific input data for these categories. The accompanying guidance, expected in Q2 2026, will provide more detailed implementation support.</w:t>
      </w:r>
    </w:p>
    <w:bookmarkEnd w:id="44"/>
    <w:bookmarkStart w:id="45" w:name="recommendations-for-mxlffepqks"/>
    <w:p>
      <w:pPr>
        <w:pStyle w:val="Heading3"/>
      </w:pPr>
      <w:r>
        <w:t xml:space="preserve">5.3. Recommendations for mxlffepqks</w:t>
      </w:r>
    </w:p>
    <w:p>
      <w:pPr>
        <w:pStyle w:val="FirstParagraph"/>
      </w:pPr>
      <w:r>
        <w:t xml:space="preserve">To reduce the carbon footprint of fewvoenuux, mxlffepqks should consider:</w:t>
      </w:r>
    </w:p>
    <w:p>
      <w:pPr>
        <w:numPr>
          <w:ilvl w:val="0"/>
          <w:numId w:val="1017"/>
        </w:numPr>
        <w:pStyle w:val="Compact"/>
      </w:pPr>
      <w:r>
        <w:rPr>
          <w:bCs/>
          <w:b/>
        </w:rPr>
        <w:t xml:space="preserve">Use Phase Optimization:</w:t>
      </w:r>
      <w:r>
        <w:t xml:space="preserve"> </w:t>
      </w:r>
      <w:r>
        <w:t xml:space="preserve">Focus on improving the energy efficiency of fewvoenuux during its operational life. This could involve design changes, user education on efficient use, or exploring lower-carbon energy sources for charging/powering the product.</w:t>
      </w:r>
    </w:p>
    <w:p>
      <w:pPr>
        <w:numPr>
          <w:ilvl w:val="0"/>
          <w:numId w:val="1017"/>
        </w:numPr>
        <w:pStyle w:val="Compact"/>
      </w:pPr>
      <w:r>
        <w:rPr>
          <w:bCs/>
          <w:b/>
        </w:rPr>
        <w:t xml:space="preserve">Material Decarbonization:</w:t>
      </w:r>
      <w:r>
        <w:t xml:space="preserve"> </w:t>
      </w:r>
      <w:r>
        <w:t xml:space="preserve">Investigate opportunities for lower-carbon materials, increased recycled content, or alternative material processes. Engaging with suppliers to obtain product-specific EPDs (Environmental Product Declarations) would provide more accurate upstream data.</w:t>
      </w:r>
    </w:p>
    <w:p>
      <w:pPr>
        <w:numPr>
          <w:ilvl w:val="0"/>
          <w:numId w:val="1017"/>
        </w:numPr>
        <w:pStyle w:val="Compact"/>
      </w:pPr>
      <w:r>
        <w:rPr>
          <w:bCs/>
          <w:b/>
        </w:rPr>
        <w:t xml:space="preserve">Renewable Energy in Production:</w:t>
      </w:r>
      <w:r>
        <w:t xml:space="preserve"> </w:t>
      </w:r>
      <w:r>
        <w:t xml:space="preserve">Further increase the share of renewable energy at the manufacturing facilities in China, going beyond the current</w:t>
      </w:r>
      <w:r>
        <w:t xml:space="preserve"> </w:t>
      </w:r>
      <w:r>
        <w:rPr>
          <w:rStyle w:val="VerbatimChar"/>
        </w:rPr>
        <w:t xml:space="preserve">xrgfyyzgyv</w:t>
      </w:r>
      <w:r>
        <w:t xml:space="preserve"> </w:t>
      </w:r>
      <w:r>
        <w:t xml:space="preserve">level, to reduce Scope 2 emissions.</w:t>
      </w:r>
    </w:p>
    <w:p>
      <w:pPr>
        <w:numPr>
          <w:ilvl w:val="0"/>
          <w:numId w:val="1017"/>
        </w:numPr>
        <w:pStyle w:val="Compact"/>
      </w:pPr>
      <w:r>
        <w:rPr>
          <w:bCs/>
          <w:b/>
        </w:rPr>
        <w:t xml:space="preserve">Logistics Optimization:</w:t>
      </w:r>
      <w:r>
        <w:t xml:space="preserve"> </w:t>
      </w:r>
      <w:r>
        <w:t xml:space="preserve">Optimize transport routes, consolidate shipments, and explore lower-emission transport modes (e.g., rail over road where feasible for European distribution) for both upstream and downstream logistics.</w:t>
      </w:r>
    </w:p>
    <w:p>
      <w:pPr>
        <w:numPr>
          <w:ilvl w:val="0"/>
          <w:numId w:val="1017"/>
        </w:numPr>
        <w:pStyle w:val="Compact"/>
      </w:pPr>
      <w:r>
        <w:rPr>
          <w:bCs/>
          <w:b/>
        </w:rPr>
        <w:t xml:space="preserve">Strengthen Circular Programs:</w:t>
      </w:r>
      <w:r>
        <w:t xml:space="preserve"> </w:t>
      </w:r>
      <w:r>
        <w:t xml:space="preserve">Capitalize on the existing</w:t>
      </w:r>
      <w:r>
        <w:t xml:space="preserve"> </w:t>
      </w:r>
      <w:r>
        <w:rPr>
          <w:rStyle w:val="VerbatimChar"/>
        </w:rPr>
        <w:t xml:space="preserve">xnjfvghfwh</w:t>
      </w:r>
      <w:r>
        <w:t xml:space="preserve"> </w:t>
      </w:r>
      <w:r>
        <w:t xml:space="preserve">circular/take-back programs to maximize material recovery and reduce waste, actively promoting them to customers to increase the actual recycling rate beyond</w:t>
      </w:r>
      <w:r>
        <w:t xml:space="preserve"> </w:t>
      </w:r>
      <w:r>
        <w:rPr>
          <w:rStyle w:val="VerbatimChar"/>
        </w:rPr>
        <w:t xml:space="preserve">ytpvrgtnhd</w:t>
      </w:r>
      <w:r>
        <w:t xml:space="preserve">.</w:t>
      </w:r>
    </w:p>
    <w:p>
      <w:pPr>
        <w:numPr>
          <w:ilvl w:val="0"/>
          <w:numId w:val="1017"/>
        </w:numPr>
        <w:pStyle w:val="Compact"/>
      </w:pPr>
      <w:r>
        <w:rPr>
          <w:bCs/>
          <w:b/>
        </w:rPr>
        <w:t xml:space="preserve">Data Collection Enhancement:</w:t>
      </w:r>
      <w:r>
        <w:t xml:space="preserve"> </w:t>
      </w:r>
      <w:r>
        <w:t xml:space="preserve">Establish systems to collect primary data for all key parameters, especially for energy consumption, transport distances, and actual end-of-life treatment, to improve the accuracy and robustness of future PCF analyses.</w:t>
      </w:r>
    </w:p>
    <w:p>
      <w:r>
        <w:pict>
          <v:rect style="width:0;height:1.5pt" o:hralign="center" o:hrstd="t" o:hr="t"/>
        </w:pict>
      </w:r>
    </w:p>
    <w:p>
      <w:pPr>
        <w:pStyle w:val="FirstParagraph"/>
      </w:pPr>
      <w:r>
        <w:t xml:space="preserve">Confidential - Internal Use Only | Page [Page Number] of [Total Pages]</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fewvoenuux</dc:title>
  <dc:creator/>
  <dc:description>High-detail Product Carbon Footprint (PCF) analysis for fewvoenuux, conducted by howhjyhrkj of mxlffepqks, adhering to GHG Protocol standards and 2026 LSR updates.</dc:description>
  <dc:language>en</dc:language>
  <cp:keywords/>
  <dcterms:created xsi:type="dcterms:W3CDTF">2026-07-15T12:38:58Z</dcterms:created>
  <dcterms:modified xsi:type="dcterms:W3CDTF">2026-07-15T12:38:58Z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