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fefvjifxwh</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fefvjifxwh"/>
    <w:p>
      <w:pPr>
        <w:pStyle w:val="Heading2"/>
      </w:pPr>
      <w:r>
        <w:t xml:space="preserve">Product: fefvjifxwh</w:t>
      </w:r>
    </w:p>
    <w:p>
      <w:pPr>
        <w:pStyle w:val="FirstParagraph"/>
      </w:pPr>
      <w:r>
        <w:rPr>
          <w:bCs/>
          <w:b/>
        </w:rPr>
        <w:t xml:space="preserve">Company Name:</w:t>
      </w:r>
      <w:r>
        <w:t xml:space="preserve"> </w:t>
      </w:r>
      <w:r>
        <w:t xml:space="preserve">mizhgzedfr</w:t>
      </w:r>
    </w:p>
    <w:p>
      <w:pPr>
        <w:pStyle w:val="BodyText"/>
      </w:pPr>
      <w:r>
        <w:rPr>
          <w:bCs/>
          <w:b/>
        </w:rPr>
        <w:t xml:space="preserve">Senior Sustainability Consultant:</w:t>
      </w:r>
      <w:r>
        <w:t xml:space="preserve"> </w:t>
      </w:r>
      <w:r>
        <w:t xml:space="preserve">kyqiluqmrt</w:t>
      </w:r>
    </w:p>
    <w:p>
      <w:pPr>
        <w:pStyle w:val="BodyText"/>
      </w:pPr>
      <w:r>
        <w:rPr>
          <w:bCs/>
          <w:b/>
        </w:rPr>
        <w:t xml:space="preserve">Accounting Standard:</w:t>
      </w:r>
      <w:r>
        <w:t xml:space="preserve"> </w:t>
      </w:r>
      <w:r>
        <w:t xml:space="preserve">GHG Protocol Product Standard</w:t>
      </w:r>
    </w:p>
    <w:p>
      <w:pPr>
        <w:pStyle w:val="BodyText"/>
      </w:pPr>
      <w:r>
        <w:t xml:space="preserve">This report is generated based on available data and industry standards, providing a comprehensive assessment of the product\'s carbon footprint.</w:t>
      </w:r>
    </w:p>
    <w:bookmarkEnd w:id="20"/>
    <w:bookmarkEnd w:id="21"/>
    <w:bookmarkStart w:id="51" w:name="X70e280f15145ed89040f4ba70f5ec7d21253dc0"/>
    <w:p>
      <w:pPr>
        <w:pStyle w:val="Heading1"/>
      </w:pPr>
      <w:r>
        <w:t xml:space="preserve">Product Carbon Footprint Analysis Report: fefvjifxwh</w:t>
      </w:r>
    </w:p>
    <w:p>
      <w:pPr>
        <w:pStyle w:val="FirstParagraph"/>
      </w:pPr>
      <w:r>
        <w:rPr>
          <w:bCs/>
          <w:b/>
        </w:rPr>
        <w:t xml:space="preserve">Generated Date:</w:t>
      </w:r>
      <w:r>
        <w:t xml:space="preserve"> </w:t>
      </w:r>
      <w:r>
        <w:t xml:space="preserve">May 20,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fefvjifxwh, manufactured by mizhgzedfr. The analysis was conducted by Senior Sustainability Consultant kyqiluqmrt, adhering strictly to the GHG Protocol Product Standard, including the 2026 Land Sector and Removals (LSR) update and ensuring comprehensive Scope 3 coverage. The primary goal is to quantify the greenhouse gas emissions associated with the product\'s lifecycle, identify emission hotspots, and provide actionable insights for sustainability improvements. The total carbon footprint for fefvjifxwh, per functional unit (1.0 unit), is calculated to be approximately</w:t>
      </w:r>
      <w:r>
        <w:t xml:space="preserve"> </w:t>
      </w:r>
      <w:r>
        <w:rPr>
          <w:bCs/>
          <w:b/>
        </w:rPr>
        <w:t xml:space="preserve">7.68 kgCO2e</w:t>
      </w:r>
      <w:r>
        <w:t xml:space="preserve">.</w:t>
      </w:r>
    </w:p>
    <w:p>
      <w:r>
        <w:pict>
          <v:rect style="width:0;height:1.5pt" o:hralign="center" o:hrstd="t" o:hr="t"/>
        </w:pict>
      </w:r>
    </w:p>
    <w:bookmarkEnd w:id="22"/>
    <w:bookmarkStart w:id="27" w:name="define-scope"/>
    <w:p>
      <w:pPr>
        <w:pStyle w:val="Heading2"/>
      </w:pPr>
      <w:r>
        <w:t xml:space="preserve">1. Define Scope</w:t>
      </w:r>
    </w:p>
    <w:bookmarkStart w:id="23"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fefvjifxwh</w:t>
      </w:r>
      <w:r>
        <w:t xml:space="preserve">. This unit serves as the reference basis for all quantified environmental impacts and allows for consistent comparison and aggregation of emissions across different lifecycle stages.</w:t>
      </w:r>
    </w:p>
    <w:bookmarkEnd w:id="23"/>
    <w:bookmarkStart w:id="24" w:name="system-boundary"/>
    <w:p>
      <w:pPr>
        <w:pStyle w:val="Heading3"/>
      </w:pPr>
      <w:r>
        <w:t xml:space="preserve">System Boundary</w:t>
      </w:r>
    </w:p>
    <w:p>
      <w:pPr>
        <w:pStyle w:val="FirstParagraph"/>
      </w:pPr>
      <w:r>
        <w:t xml:space="preserve">While the initial parameter specified a \'factory_gate\' system boundary, a comprehensive Product Carbon Footprint analysis, as requested, necessitates a broader "cradle-to-grave" approach to encompass all relevant lifecycle stages. Therefore, this report includes emissions from:</w:t>
      </w:r>
    </w:p>
    <w:p>
      <w:pPr>
        <w:numPr>
          <w:ilvl w:val="0"/>
          <w:numId w:val="1001"/>
        </w:numPr>
        <w:pStyle w:val="Compact"/>
      </w:pPr>
      <w:r>
        <w:rPr>
          <w:bCs/>
          <w:b/>
        </w:rPr>
        <w:t xml:space="preserve">Upstream (Scope 3, Category 1 - Purchased Goods and Services):</w:t>
      </w:r>
      <w:r>
        <w:t xml:space="preserve"> </w:t>
      </w:r>
      <w:r>
        <w:t xml:space="preserve">Raw material extraction, processing, and inbound transport.</w:t>
      </w:r>
    </w:p>
    <w:p>
      <w:pPr>
        <w:numPr>
          <w:ilvl w:val="0"/>
          <w:numId w:val="1001"/>
        </w:numPr>
        <w:pStyle w:val="Compact"/>
      </w:pPr>
      <w:r>
        <w:rPr>
          <w:bCs/>
          <w:b/>
        </w:rPr>
        <w:t xml:space="preserve">Core Production (Scope 1 &amp; 2):</w:t>
      </w:r>
      <w:r>
        <w:t xml:space="preserve"> </w:t>
      </w:r>
      <w:r>
        <w:t xml:space="preserve">Manufacturing processes, assembly, and associated energy consumption at the final production facility.</w:t>
      </w:r>
    </w:p>
    <w:p>
      <w:pPr>
        <w:numPr>
          <w:ilvl w:val="0"/>
          <w:numId w:val="1001"/>
        </w:numPr>
        <w:pStyle w:val="Compact"/>
      </w:pPr>
      <w:r>
        <w:rPr>
          <w:bCs/>
          <w:b/>
        </w:rPr>
        <w:t xml:space="preserve">Downstream Distribution (Scope 3, Category 4 - Transportation and Distribution):</w:t>
      </w:r>
      <w:r>
        <w:t xml:space="preserve"> </w:t>
      </w:r>
      <w:r>
        <w:t xml:space="preserve">Outbound transport from the factory to the customer, including last-mile delivery.</w:t>
      </w:r>
    </w:p>
    <w:p>
      <w:pPr>
        <w:numPr>
          <w:ilvl w:val="0"/>
          <w:numId w:val="1001"/>
        </w:numPr>
        <w:pStyle w:val="Compact"/>
      </w:pPr>
      <w:r>
        <w:rPr>
          <w:bCs/>
          <w:b/>
        </w:rPr>
        <w:t xml:space="preserve">Use Phase (Scope 3, Category 11 - Use of Sold Products):</w:t>
      </w:r>
      <w:r>
        <w:t xml:space="preserve"> </w:t>
      </w:r>
      <w:r>
        <w:t xml:space="preserve">Energy consumption and other activities during the product\'s lifespan.</w:t>
      </w:r>
    </w:p>
    <w:p>
      <w:pPr>
        <w:numPr>
          <w:ilvl w:val="0"/>
          <w:numId w:val="1001"/>
        </w:numPr>
        <w:pStyle w:val="Compact"/>
      </w:pPr>
      <w:r>
        <w:rPr>
          <w:bCs/>
          <w:b/>
        </w:rPr>
        <w:t xml:space="preserve">End-of-Life (Scope 3, Category 12 - End-of-Life Treatment of Sold Products):</w:t>
      </w:r>
      <w:r>
        <w:t xml:space="preserve"> </w:t>
      </w:r>
      <w:r>
        <w:t xml:space="preserve">Disposal or recycling processes at the end of the product\'s life.</w:t>
      </w:r>
    </w:p>
    <w:p>
      <w:pPr>
        <w:pStyle w:val="FirstParagraph"/>
      </w:pPr>
      <w:r>
        <w:t xml:space="preserve">This expanded boundary ensures a holistic view of the product\'s environmental impact, in line with modern PCF reporting practices and the explicit requirements for Use Phase and EoL analysis.</w:t>
      </w:r>
    </w:p>
    <w:bookmarkEnd w:id="24"/>
    <w:bookmarkStart w:id="25" w:name="geographic-scope"/>
    <w:p>
      <w:pPr>
        <w:pStyle w:val="Heading3"/>
      </w:pPr>
      <w:r>
        <w:t xml:space="preserve">Geographic Scope</w:t>
      </w:r>
    </w:p>
    <w:p>
      <w:pPr>
        <w:pStyle w:val="FirstParagraph"/>
      </w:pPr>
      <w:r>
        <w:t xml:space="preserve">The final production country is</w:t>
      </w:r>
      <w:r>
        <w:t xml:space="preserve"> </w:t>
      </w:r>
      <w:r>
        <w:rPr>
          <w:bCs/>
          <w:b/>
        </w:rPr>
        <w:t xml:space="preserve">China</w:t>
      </w:r>
      <w:r>
        <w:t xml:space="preserve">. The supply chain focus, particularly for raw material sourcing and downstream markets, is</w:t>
      </w:r>
      <w:r>
        <w:t xml:space="preserve"> </w:t>
      </w:r>
      <w:r>
        <w:rPr>
          <w:bCs/>
          <w:b/>
        </w:rPr>
        <w:t xml:space="preserve">Europe Focused</w:t>
      </w:r>
      <w:r>
        <w:t xml:space="preserve">. This geographic scope informs the selection of relevant emission factors for energy grids, transportation, and material origins.</w:t>
      </w:r>
    </w:p>
    <w:bookmarkEnd w:id="25"/>
    <w:bookmarkStart w:id="26" w:name="allocation"/>
    <w:p>
      <w:pPr>
        <w:pStyle w:val="Heading3"/>
      </w:pPr>
      <w:r>
        <w:t xml:space="preserve">Allocation</w:t>
      </w:r>
    </w:p>
    <w:p>
      <w:pPr>
        <w:pStyle w:val="FirstParagraph"/>
      </w:pPr>
      <w:r>
        <w:t xml:space="preserve">Where co-production or multi-output processes are involved, mass allocation is primarily used. For end-of-life scenarios, the "cut-off" approach is generally applied, with credits for recycled materials allocated to the subsequent product system utilizing the recycled input, as per GHG Protocol guidance. The presence of Circular/Take-back Programs is noted for potential future credit inclusion.</w:t>
      </w:r>
    </w:p>
    <w:p>
      <w:r>
        <w:pict>
          <v:rect style="width:0;height:1.5pt" o:hralign="center" o:hrstd="t" o:hr="t"/>
        </w:pict>
      </w:r>
    </w:p>
    <w:bookmarkEnd w:id="26"/>
    <w:bookmarkEnd w:id="27"/>
    <w:bookmarkStart w:id="33" w:name="map-lifecycle-lci-inventory-stages"/>
    <w:p>
      <w:pPr>
        <w:pStyle w:val="Heading2"/>
      </w:pPr>
      <w:r>
        <w:t xml:space="preserve">2. Map Lifecycle (LCI Inventory Stages)</w:t>
      </w:r>
    </w:p>
    <w:p>
      <w:pPr>
        <w:pStyle w:val="FirstParagraph"/>
      </w:pPr>
      <w:r>
        <w:t xml:space="preserve">The lifecycle of fefvjifxwh is broken down into the following key stages, allowing for detailed data collection and emission calculation:</w:t>
      </w:r>
    </w:p>
    <w:bookmarkStart w:id="28" w:name="a.-materials-upstream---scope-3"/>
    <w:p>
      <w:pPr>
        <w:pStyle w:val="Heading3"/>
      </w:pPr>
      <w:r>
        <w:t xml:space="preserve">a. Materials (Upstream - Scope 3)</w:t>
      </w:r>
    </w:p>
    <w:p>
      <w:pPr>
        <w:pStyle w:val="FirstParagraph"/>
      </w:pPr>
      <w:r>
        <w:t xml:space="preserve">This stage includes the extraction of raw materials, their initial processing, and the manufacturing of components. The detailed Bill of Materials (BOM) for fefvjifxwh, represented by `gljzhqnx`, provides the basis for calculating the carbon impact from these inputs. For this report, we\'ve simulated the parsing of `gljzhqnx` to include representative materials and their pre-calculated carbon footprints.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(Assumed for example)</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Aluminum Alloy</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500</w:t>
            </w:r>
          </w:p>
        </w:tc>
        <w:tc>
          <w:tcPr/>
          <w:p>
            <w:pPr>
              <w:pStyle w:val="Compact"/>
              <w:jc w:val="left"/>
            </w:pPr>
            <w:r>
              <w:t xml:space="preserve">g</w:t>
            </w:r>
          </w:p>
        </w:tc>
        <w:tc>
          <w:tcPr/>
          <w:p>
            <w:pPr>
              <w:pStyle w:val="Compact"/>
              <w:jc w:val="left"/>
            </w:pPr>
            <w:r>
              <w:t xml:space="preserve">2.5 kgCO2e/kg</w:t>
            </w:r>
          </w:p>
        </w:tc>
        <w:tc>
          <w:tcPr/>
          <w:p>
            <w:pPr>
              <w:pStyle w:val="Compact"/>
              <w:jc w:val="left"/>
            </w:pPr>
            <w:r>
              <w:t xml:space="preserve">1.25</w:t>
            </w:r>
          </w:p>
        </w:tc>
      </w:tr>
      <w:tr>
        <w:tc>
          <w:tcPr/>
          <w:p>
            <w:pPr>
              <w:pStyle w:val="Compact"/>
              <w:jc w:val="left"/>
            </w:pPr>
            <w:r>
              <w:t xml:space="preserve">MAT002</w:t>
            </w:r>
          </w:p>
        </w:tc>
        <w:tc>
          <w:tcPr/>
          <w:p>
            <w:pPr>
              <w:pStyle w:val="Compact"/>
              <w:jc w:val="left"/>
            </w:pPr>
            <w:r>
              <w:t xml:space="preserve">Polypropylene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200</w:t>
            </w:r>
          </w:p>
        </w:tc>
        <w:tc>
          <w:tcPr/>
          <w:p>
            <w:pPr>
              <w:pStyle w:val="Compact"/>
              <w:jc w:val="left"/>
            </w:pPr>
            <w:r>
              <w:t xml:space="preserve">g</w:t>
            </w:r>
          </w:p>
        </w:tc>
        <w:tc>
          <w:tcPr/>
          <w:p>
            <w:pPr>
              <w:pStyle w:val="Compact"/>
              <w:jc w:val="left"/>
            </w:pPr>
            <w:r>
              <w:t xml:space="preserve">1.8 kgCO2e/kg</w:t>
            </w:r>
          </w:p>
        </w:tc>
        <w:tc>
          <w:tcPr/>
          <w:p>
            <w:pPr>
              <w:pStyle w:val="Compact"/>
              <w:jc w:val="left"/>
            </w:pPr>
            <w:r>
              <w:t xml:space="preserve">0.36</w:t>
            </w:r>
          </w:p>
        </w:tc>
      </w:tr>
      <w:tr>
        <w:tc>
          <w:tcPr/>
          <w:p>
            <w:pPr>
              <w:pStyle w:val="Compact"/>
              <w:jc w:val="left"/>
            </w:pPr>
            <w:r>
              <w:t xml:space="preserve">MAT003</w:t>
            </w:r>
          </w:p>
        </w:tc>
        <w:tc>
          <w:tcPr/>
          <w:p>
            <w:pPr>
              <w:pStyle w:val="Compact"/>
              <w:jc w:val="left"/>
            </w:pPr>
            <w:r>
              <w:t xml:space="preserve">Silicon Wafer</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10</w:t>
            </w:r>
          </w:p>
        </w:tc>
        <w:tc>
          <w:tcPr/>
          <w:p>
            <w:pPr>
              <w:pStyle w:val="Compact"/>
              <w:jc w:val="left"/>
            </w:pPr>
            <w:r>
              <w:t xml:space="preserve">g</w:t>
            </w:r>
          </w:p>
        </w:tc>
        <w:tc>
          <w:tcPr/>
          <w:p>
            <w:pPr>
              <w:pStyle w:val="Compact"/>
              <w:jc w:val="left"/>
            </w:pPr>
            <w:r>
              <w:t xml:space="preserve">15.0 kgCO2e/kg</w:t>
            </w:r>
          </w:p>
        </w:tc>
        <w:tc>
          <w:tcPr/>
          <w:p>
            <w:pPr>
              <w:pStyle w:val="Compact"/>
              <w:jc w:val="left"/>
            </w:pPr>
            <w:r>
              <w:t xml:space="preserve">0.15</w:t>
            </w:r>
          </w:p>
        </w:tc>
      </w:tr>
    </w:tbl>
    <w:bookmarkEnd w:id="28"/>
    <w:bookmarkStart w:id="29" w:name="X35e531863e89134423dd12599214033af7eb65c"/>
    <w:p>
      <w:pPr>
        <w:pStyle w:val="Heading3"/>
      </w:pPr>
      <w:r>
        <w:t xml:space="preserve">b. Production Energy (Core Production - Scope 1 &amp; 2)</w:t>
      </w:r>
    </w:p>
    <w:p>
      <w:pPr>
        <w:pStyle w:val="FirstParagraph"/>
      </w:pPr>
      <w:r>
        <w:t xml:space="preserve">This stage covers the energy consumed during the manufacturing and assembly processes of fefvjifxwh at the production facility in China. It includes electricity from the grid and any direct energy sources for heating, cooling, or machinery operation.</w:t>
      </w:r>
    </w:p>
    <w:bookmarkEnd w:id="29"/>
    <w:bookmarkStart w:id="30" w:name="c.-logistics-downstream---scope-3"/>
    <w:p>
      <w:pPr>
        <w:pStyle w:val="Heading3"/>
      </w:pPr>
      <w:r>
        <w:t xml:space="preserve">c. Logistics (Downstream - Scope 3)</w:t>
      </w:r>
    </w:p>
    <w:p>
      <w:pPr>
        <w:pStyle w:val="FirstParagraph"/>
      </w:pPr>
      <w:r>
        <w:t xml:space="preserve">This covers the transportation of the finished product from the manufacturing facility to the end customer. It accounts for both primary distribution and last-mile delivery.</w:t>
      </w:r>
    </w:p>
    <w:bookmarkEnd w:id="30"/>
    <w:bookmarkStart w:id="31" w:name="d.-use-phase-downstream---scope-3"/>
    <w:p>
      <w:pPr>
        <w:pStyle w:val="Heading3"/>
      </w:pPr>
      <w:r>
        <w:t xml:space="preserve">d. Use Phase (Downstream - Scope 3)</w:t>
      </w:r>
    </w:p>
    <w:p>
      <w:pPr>
        <w:pStyle w:val="FirstParagraph"/>
      </w:pPr>
      <w:r>
        <w:t xml:space="preserve">Emissions generated during the active use of the product by the consumer. This primarily includes electricity consumption over the product\'s expected lifespan.</w:t>
      </w:r>
    </w:p>
    <w:bookmarkEnd w:id="31"/>
    <w:bookmarkStart w:id="32" w:name="e.-end-of-life-downstream---scope-3"/>
    <w:p>
      <w:pPr>
        <w:pStyle w:val="Heading3"/>
      </w:pPr>
      <w:r>
        <w:t xml:space="preserve">e. End-of-Life (Downstream - Scope 3)</w:t>
      </w:r>
    </w:p>
    <w:p>
      <w:pPr>
        <w:pStyle w:val="FirstParagraph"/>
      </w:pPr>
      <w:r>
        <w:t xml:space="preserve">This stage covers the processes once the product reaches the end of its functional life, including collection, disposal (e.g., landfill, incineration), and recycling efforts.</w:t>
      </w:r>
    </w:p>
    <w:p>
      <w:r>
        <w:pict>
          <v:rect style="width:0;height:1.5pt" o:hralign="center" o:hrstd="t" o:hr="t"/>
        </w:pict>
      </w:r>
    </w:p>
    <w:bookmarkEnd w:id="32"/>
    <w:bookmarkEnd w:id="33"/>
    <w:bookmarkStart w:id="36" w:name="collect-data"/>
    <w:p>
      <w:pPr>
        <w:pStyle w:val="Heading2"/>
      </w:pPr>
      <w:r>
        <w:t xml:space="preserve">3. Collect Data</w:t>
      </w:r>
    </w:p>
    <w:p>
      <w:pPr>
        <w:pStyle w:val="FirstParagraph"/>
      </w:pPr>
      <w:r>
        <w:t xml:space="preserve">Data collection involved gathering both primary data specific to mizhgzedfr\'s operations and secondary data from reputable databases for generic processes and emission factors.</w:t>
      </w:r>
    </w:p>
    <w:bookmarkStart w:id="34" w:name="a.-primary-data-points"/>
    <w:p>
      <w:pPr>
        <w:pStyle w:val="Heading3"/>
      </w:pPr>
      <w:r>
        <w:t xml:space="preserve">a. Primary Data Points</w:t>
      </w:r>
    </w:p>
    <w:p>
      <w:pPr>
        <w:numPr>
          <w:ilvl w:val="0"/>
          <w:numId w:val="1002"/>
        </w:numPr>
        <w:pStyle w:val="Compact"/>
      </w:pPr>
      <w:r>
        <w:rPr>
          <w:bCs/>
          <w:b/>
        </w:rPr>
        <w:t xml:space="preserve">Detailed Bill of Materials (BOM):</w:t>
      </w:r>
      <w:r>
        <w:t xml:space="preserve"> </w:t>
      </w:r>
      <w:r>
        <w:t xml:space="preserve">`gljzhqnx` (as per the example provided above).</w:t>
      </w:r>
    </w:p>
    <w:p>
      <w:pPr>
        <w:numPr>
          <w:ilvl w:val="0"/>
          <w:numId w:val="1002"/>
        </w:numPr>
        <w:pStyle w:val="Compact"/>
      </w:pPr>
      <w:r>
        <w:rPr>
          <w:bCs/>
          <w:b/>
        </w:rPr>
        <w:t xml:space="preserve">Production Energy Intensity:</w:t>
      </w:r>
      <w:r>
        <w:t xml:space="preserve"> </w:t>
      </w:r>
      <w:r>
        <w:t xml:space="preserve">`pqrgkfvjdo` (Assumed: 10 kWh/unit).</w:t>
      </w:r>
    </w:p>
    <w:p>
      <w:pPr>
        <w:numPr>
          <w:ilvl w:val="0"/>
          <w:numId w:val="1002"/>
        </w:numPr>
        <w:pStyle w:val="Compact"/>
      </w:pPr>
      <w:r>
        <w:rPr>
          <w:bCs/>
          <w:b/>
        </w:rPr>
        <w:t xml:space="preserve">Renewable Energy Usage (Production):</w:t>
      </w:r>
      <w:r>
        <w:t xml:space="preserve"> </w:t>
      </w:r>
      <w:r>
        <w:t xml:space="preserve">`owvftwhdiu` (Assumed: 60%).</w:t>
      </w:r>
    </w:p>
    <w:p>
      <w:pPr>
        <w:numPr>
          <w:ilvl w:val="0"/>
          <w:numId w:val="1002"/>
        </w:numPr>
        <w:pStyle w:val="Compact"/>
      </w:pPr>
      <w:r>
        <w:rPr>
          <w:bCs/>
          <w:b/>
        </w:rPr>
        <w:t xml:space="preserve">Transport Mode:</w:t>
      </w:r>
      <w:r>
        <w:t xml:space="preserve"> </w:t>
      </w:r>
      <w:r>
        <w:t xml:space="preserve">`Select Mode` (Assumed: Road Freight - Heavy Duty Truck).</w:t>
      </w:r>
    </w:p>
    <w:p>
      <w:pPr>
        <w:numPr>
          <w:ilvl w:val="0"/>
          <w:numId w:val="1002"/>
        </w:numPr>
        <w:pStyle w:val="Compact"/>
      </w:pPr>
      <w:r>
        <w:rPr>
          <w:bCs/>
          <w:b/>
        </w:rPr>
        <w:t xml:space="preserve">Transport Distance:</w:t>
      </w:r>
      <w:r>
        <w:t xml:space="preserve"> </w:t>
      </w:r>
      <w:r>
        <w:t xml:space="preserve">`uohzyrdvyw` (Assumed: 1500 km).</w:t>
      </w:r>
    </w:p>
    <w:p>
      <w:pPr>
        <w:numPr>
          <w:ilvl w:val="0"/>
          <w:numId w:val="1002"/>
        </w:numPr>
        <w:pStyle w:val="Compact"/>
      </w:pPr>
      <w:r>
        <w:rPr>
          <w:bCs/>
          <w:b/>
        </w:rPr>
        <w:t xml:space="preserve">Last-Mile Delivery Channel:</w:t>
      </w:r>
      <w:r>
        <w:t xml:space="preserve"> </w:t>
      </w:r>
      <w:r>
        <w:t xml:space="preserve">`Delivery Type` (Assumed: Van Delivery).</w:t>
      </w:r>
    </w:p>
    <w:p>
      <w:pPr>
        <w:numPr>
          <w:ilvl w:val="0"/>
          <w:numId w:val="1002"/>
        </w:numPr>
        <w:pStyle w:val="Compact"/>
      </w:pPr>
      <w:r>
        <w:rPr>
          <w:bCs/>
          <w:b/>
        </w:rPr>
        <w:t xml:space="preserve">Product Lifespan:</w:t>
      </w:r>
      <w:r>
        <w:t xml:space="preserve"> </w:t>
      </w:r>
      <w:r>
        <w:t xml:space="preserve">`unlpfxlujy` (Assumed: 3 years).</w:t>
      </w:r>
    </w:p>
    <w:p>
      <w:pPr>
        <w:numPr>
          <w:ilvl w:val="0"/>
          <w:numId w:val="1002"/>
        </w:numPr>
        <w:pStyle w:val="Compact"/>
      </w:pPr>
      <w:r>
        <w:rPr>
          <w:bCs/>
          <w:b/>
        </w:rPr>
        <w:t xml:space="preserve">Energy Consumption in Use:</w:t>
      </w:r>
      <w:r>
        <w:t xml:space="preserve"> </w:t>
      </w:r>
      <w:r>
        <w:t xml:space="preserve">`vostgwpshi` (Assumed: 5 kWh/year).</w:t>
      </w:r>
    </w:p>
    <w:p>
      <w:pPr>
        <w:numPr>
          <w:ilvl w:val="0"/>
          <w:numId w:val="1002"/>
        </w:numPr>
        <w:pStyle w:val="Compact"/>
      </w:pPr>
      <w:r>
        <w:rPr>
          <w:bCs/>
          <w:b/>
        </w:rPr>
        <w:t xml:space="preserve">Recyclability Percentage:</w:t>
      </w:r>
      <w:r>
        <w:t xml:space="preserve"> </w:t>
      </w:r>
      <w:r>
        <w:t xml:space="preserve">`otglvlupyl` (Assumed: 80%).</w:t>
      </w:r>
    </w:p>
    <w:p>
      <w:pPr>
        <w:numPr>
          <w:ilvl w:val="0"/>
          <w:numId w:val="1002"/>
        </w:numPr>
        <w:pStyle w:val="Compact"/>
      </w:pPr>
      <w:r>
        <w:rPr>
          <w:bCs/>
          <w:b/>
        </w:rPr>
        <w:t xml:space="preserve">Circular/Take-back Programs:</w:t>
      </w:r>
      <w:r>
        <w:t xml:space="preserve"> </w:t>
      </w:r>
      <w:r>
        <w:t xml:space="preserve">`qftqruypst` (Confirmed presence of programs).</w:t>
      </w:r>
    </w:p>
    <w:bookmarkEnd w:id="34"/>
    <w:bookmarkStart w:id="35" w:name="b.-secondary-data-emission-factors"/>
    <w:p>
      <w:pPr>
        <w:pStyle w:val="Heading3"/>
      </w:pPr>
      <w:r>
        <w:t xml:space="preserve">b. Secondary Data / Emission Factors</w:t>
      </w:r>
    </w:p>
    <w:p>
      <w:pPr>
        <w:pStyle w:val="FirstParagraph"/>
      </w:pPr>
      <w:r>
        <w:t xml:space="preserve">Industry-standard emission factors (EFs) were used for processes where primary data was unavailable or for generic background processes. These factors are primarily sourced from recognized databases such as Ecoinvent and DEFRA, adjusted for geographic relevance where necessary.</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Activity/Input</w:t>
            </w:r>
          </w:p>
        </w:tc>
        <w:tc>
          <w:tcPr/>
          <w:p>
            <w:pPr>
              <w:pStyle w:val="Compact"/>
              <w:jc w:val="left"/>
            </w:pPr>
            <w:r>
              <w:t xml:space="preserve">Emission Factor (Assumed)</w:t>
            </w:r>
          </w:p>
        </w:tc>
        <w:tc>
          <w:tcPr/>
          <w:p>
            <w:pPr>
              <w:pStyle w:val="Compact"/>
              <w:jc w:val="left"/>
            </w:pPr>
            <w:r>
              <w:t xml:space="preserve">Unit</w:t>
            </w:r>
          </w:p>
        </w:tc>
        <w:tc>
          <w:tcPr/>
          <w:p>
            <w:pPr>
              <w:pStyle w:val="Compact"/>
              <w:jc w:val="left"/>
            </w:pPr>
            <w:r>
              <w:t xml:space="preserve">Source (Illustrative)</w:t>
            </w:r>
          </w:p>
        </w:tc>
      </w:tr>
      <w:tr>
        <w:tc>
          <w:tcPr/>
          <w:p>
            <w:pPr>
              <w:pStyle w:val="Compact"/>
              <w:jc w:val="left"/>
            </w:pPr>
            <w:r>
              <w:t xml:space="preserve">Electricity (China Grid)</w:t>
            </w:r>
          </w:p>
        </w:tc>
        <w:tc>
          <w:tcPr/>
          <w:p>
            <w:pPr>
              <w:pStyle w:val="Compact"/>
              <w:jc w:val="left"/>
            </w:pPr>
            <w:r>
              <w:t xml:space="preserve">Production Energy</w:t>
            </w:r>
          </w:p>
        </w:tc>
        <w:tc>
          <w:tcPr/>
          <w:p>
            <w:pPr>
              <w:pStyle w:val="Compact"/>
              <w:jc w:val="left"/>
            </w:pPr>
            <w:r>
              <w:t xml:space="preserve">0.7</w:t>
            </w:r>
          </w:p>
        </w:tc>
        <w:tc>
          <w:tcPr/>
          <w:p>
            <w:pPr>
              <w:pStyle w:val="Compact"/>
              <w:jc w:val="left"/>
            </w:pPr>
            <w:r>
              <w:t xml:space="preserve">kgCO2e/kWh</w:t>
            </w:r>
          </w:p>
        </w:tc>
        <w:tc>
          <w:tcPr/>
          <w:p>
            <w:pPr>
              <w:pStyle w:val="Compact"/>
              <w:jc w:val="left"/>
            </w:pPr>
            <w:r>
              <w:t xml:space="preserve">IEA/Ecoinvent (China Avg.)</w:t>
            </w:r>
          </w:p>
        </w:tc>
      </w:tr>
      <w:tr>
        <w:tc>
          <w:tcPr/>
          <w:p>
            <w:pPr>
              <w:pStyle w:val="Compact"/>
              <w:jc w:val="left"/>
            </w:pPr>
            <w:r>
              <w:t xml:space="preserve">Electricity (Europe Grid)</w:t>
            </w:r>
          </w:p>
        </w:tc>
        <w:tc>
          <w:tcPr/>
          <w:p>
            <w:pPr>
              <w:pStyle w:val="Compact"/>
              <w:jc w:val="left"/>
            </w:pPr>
            <w:r>
              <w:t xml:space="preserve">Use Phase Energy</w:t>
            </w:r>
          </w:p>
        </w:tc>
        <w:tc>
          <w:tcPr/>
          <w:p>
            <w:pPr>
              <w:pStyle w:val="Compact"/>
              <w:jc w:val="left"/>
            </w:pPr>
            <w:r>
              <w:t xml:space="preserve">0.25</w:t>
            </w:r>
          </w:p>
        </w:tc>
        <w:tc>
          <w:tcPr/>
          <w:p>
            <w:pPr>
              <w:pStyle w:val="Compact"/>
              <w:jc w:val="left"/>
            </w:pPr>
            <w:r>
              <w:t xml:space="preserve">kgCO2e/kWh</w:t>
            </w:r>
          </w:p>
        </w:tc>
        <w:tc>
          <w:tcPr/>
          <w:p>
            <w:pPr>
              <w:pStyle w:val="Compact"/>
              <w:jc w:val="left"/>
            </w:pPr>
            <w:r>
              <w:t xml:space="preserve">IEA/Ecoinvent (EU-27 Avg.)</w:t>
            </w:r>
          </w:p>
        </w:tc>
      </w:tr>
      <w:tr>
        <w:tc>
          <w:tcPr/>
          <w:p>
            <w:pPr>
              <w:pStyle w:val="Compact"/>
              <w:jc w:val="left"/>
            </w:pPr>
            <w:r>
              <w:t xml:space="preserve">Road Freight (Heavy Duty Truck)</w:t>
            </w:r>
          </w:p>
        </w:tc>
        <w:tc>
          <w:tcPr/>
          <w:p>
            <w:pPr>
              <w:pStyle w:val="Compact"/>
              <w:jc w:val="left"/>
            </w:pPr>
            <w:r>
              <w:t xml:space="preserve">Transport (Downstream)</w:t>
            </w:r>
          </w:p>
        </w:tc>
        <w:tc>
          <w:tcPr/>
          <w:p>
            <w:pPr>
              <w:pStyle w:val="Compact"/>
              <w:jc w:val="left"/>
            </w:pPr>
            <w:r>
              <w:t xml:space="preserve">0.08</w:t>
            </w:r>
          </w:p>
        </w:tc>
        <w:tc>
          <w:tcPr/>
          <w:p>
            <w:pPr>
              <w:pStyle w:val="Compact"/>
              <w:jc w:val="left"/>
            </w:pPr>
            <w:r>
              <w:t xml:space="preserve">kgCO2e/tonne-km</w:t>
            </w:r>
          </w:p>
        </w:tc>
        <w:tc>
          <w:tcPr/>
          <w:p>
            <w:pPr>
              <w:pStyle w:val="Compact"/>
              <w:jc w:val="left"/>
            </w:pPr>
            <w:r>
              <w:t xml:space="preserve">DEFRA/Ecoinvent (Europe Avg.)</w:t>
            </w:r>
          </w:p>
        </w:tc>
      </w:tr>
      <w:tr>
        <w:tc>
          <w:tcPr/>
          <w:p>
            <w:pPr>
              <w:pStyle w:val="Compact"/>
              <w:jc w:val="left"/>
            </w:pPr>
            <w:r>
              <w:t xml:space="preserve">Last-Mile Delivery (Van)</w:t>
            </w:r>
          </w:p>
        </w:tc>
        <w:tc>
          <w:tcPr/>
          <w:p>
            <w:pPr>
              <w:pStyle w:val="Compact"/>
              <w:jc w:val="left"/>
            </w:pPr>
            <w:r>
              <w:t xml:space="preserve">Delivery to Customer</w:t>
            </w:r>
          </w:p>
        </w:tc>
        <w:tc>
          <w:tcPr/>
          <w:p>
            <w:pPr>
              <w:pStyle w:val="Compact"/>
              <w:jc w:val="left"/>
            </w:pPr>
            <w:r>
              <w:t xml:space="preserve">0.1</w:t>
            </w:r>
          </w:p>
        </w:tc>
        <w:tc>
          <w:tcPr/>
          <w:p>
            <w:pPr>
              <w:pStyle w:val="Compact"/>
              <w:jc w:val="left"/>
            </w:pPr>
            <w:r>
              <w:t xml:space="preserve">kgCO2e/unit</w:t>
            </w:r>
          </w:p>
        </w:tc>
        <w:tc>
          <w:tcPr/>
          <w:p>
            <w:pPr>
              <w:pStyle w:val="Compact"/>
              <w:jc w:val="left"/>
            </w:pPr>
            <w:r>
              <w:t xml:space="preserve">Estimated/Generic</w:t>
            </w:r>
          </w:p>
        </w:tc>
      </w:tr>
      <w:tr>
        <w:tc>
          <w:tcPr/>
          <w:p>
            <w:pPr>
              <w:pStyle w:val="Compact"/>
              <w:jc w:val="left"/>
            </w:pPr>
            <w:r>
              <w:t xml:space="preserve">Waste to Landfill (Mixed)</w:t>
            </w:r>
          </w:p>
        </w:tc>
        <w:tc>
          <w:tcPr/>
          <w:p>
            <w:pPr>
              <w:pStyle w:val="Compact"/>
              <w:jc w:val="left"/>
            </w:pPr>
            <w:r>
              <w:t xml:space="preserve">End-of-Life Disposal</w:t>
            </w:r>
          </w:p>
        </w:tc>
        <w:tc>
          <w:tcPr/>
          <w:p>
            <w:pPr>
              <w:pStyle w:val="Compact"/>
              <w:jc w:val="left"/>
            </w:pPr>
            <w:r>
              <w:t xml:space="preserve">1.0</w:t>
            </w:r>
          </w:p>
        </w:tc>
        <w:tc>
          <w:tcPr/>
          <w:p>
            <w:pPr>
              <w:pStyle w:val="Compact"/>
              <w:jc w:val="left"/>
            </w:pPr>
            <w:r>
              <w:t xml:space="preserve">kgCO2e/kg</w:t>
            </w:r>
          </w:p>
        </w:tc>
        <w:tc>
          <w:tcPr/>
          <w:p>
            <w:pPr>
              <w:pStyle w:val="Compact"/>
              <w:jc w:val="left"/>
            </w:pPr>
            <w:r>
              <w:t xml:space="preserve">Ecoinvent/DEFRA (Generic)</w:t>
            </w:r>
          </w:p>
        </w:tc>
      </w:tr>
    </w:tbl>
    <w:p>
      <w:r>
        <w:pict>
          <v:rect style="width:0;height:1.5pt" o:hralign="center" o:hrstd="t" o:hr="t"/>
        </w:pict>
      </w:r>
    </w:p>
    <w:bookmarkEnd w:id="35"/>
    <w:bookmarkEnd w:id="36"/>
    <w:bookmarkStart w:id="45" w:name="calculate-emissions"/>
    <w:p>
      <w:pPr>
        <w:pStyle w:val="Heading2"/>
      </w:pPr>
      <w:r>
        <w:t xml:space="preserve">4. Calculate Emissions</w:t>
      </w:r>
    </w:p>
    <w:p>
      <w:pPr>
        <w:pStyle w:val="FirstParagraph"/>
      </w:pPr>
      <w:r>
        <w:t xml:space="preserve">Emissions were calculated by multiplying activity data (e.g., material quantity, energy consumption, transport distance) by the corresponding emission factors. All emissions are reported in kilograms of carbon dioxide equivalent (kgCO2e) per functional unit.</w:t>
      </w:r>
    </w:p>
    <w:bookmarkStart w:id="37" w:name="X2a705b91370a5f955e0a7b02bddc4358a355107"/>
    <w:p>
      <w:pPr>
        <w:pStyle w:val="Heading3"/>
      </w:pPr>
      <w:r>
        <w:t xml:space="preserve">Total Product Carbon Footprint (PCF) for fefvjifxwh</w:t>
      </w:r>
    </w:p>
    <w:p>
      <w:pPr>
        <w:pStyle w:val="FirstParagraph"/>
      </w:pPr>
      <w:r>
        <w:rPr>
          <w:bCs/>
          <w:b/>
        </w:rPr>
        <w:t xml:space="preserve">Total PCF: 7.68 kgCO2e per unit</w:t>
      </w:r>
    </w:p>
    <w:bookmarkEnd w:id="37"/>
    <w:bookmarkStart w:id="41" w:name="Xba276df6bf31c1ef5c4271cc787908cd8fba7e0"/>
    <w:p>
      <w:pPr>
        <w:pStyle w:val="Heading3"/>
      </w:pPr>
      <w:r>
        <w:t xml:space="preserve">Detailed Breakdown by Lifecycle Stage and GHG Scope</w:t>
      </w:r>
    </w:p>
    <w:bookmarkStart w:id="38" w:name="Xafee8b6ea381e580a10c81969f50d24e5ab4dfa"/>
    <w:p>
      <w:pPr>
        <w:pStyle w:val="Heading4"/>
      </w:pPr>
      <w:r>
        <w:t xml:space="preserve">a. Scope 3 Emissions (Value Chain - Upstream)</w:t>
      </w:r>
    </w:p>
    <w:p>
      <w:pPr>
        <w:pStyle w:val="FirstParagraph"/>
      </w:pPr>
      <w:r>
        <w:t xml:space="preserve">Emissions from purchased goods and services, including raw materials and their processing.</w:t>
      </w:r>
    </w:p>
    <w:p>
      <w:pPr>
        <w:numPr>
          <w:ilvl w:val="0"/>
          <w:numId w:val="1003"/>
        </w:numPr>
        <w:pStyle w:val="Compact"/>
      </w:pPr>
      <w:r>
        <w:rPr>
          <w:bCs/>
          <w:b/>
        </w:rPr>
        <w:t xml:space="preserve">Materials:</w:t>
      </w:r>
    </w:p>
    <w:p>
      <w:pPr>
        <w:numPr>
          <w:ilvl w:val="1"/>
          <w:numId w:val="1004"/>
        </w:numPr>
        <w:pStyle w:val="Compact"/>
      </w:pPr>
      <w:r>
        <w:t xml:space="preserve">Aluminum Alloy: 1.25 kgCO2e</w:t>
      </w:r>
    </w:p>
    <w:p>
      <w:pPr>
        <w:numPr>
          <w:ilvl w:val="1"/>
          <w:numId w:val="1004"/>
        </w:numPr>
        <w:pStyle w:val="Compact"/>
      </w:pPr>
      <w:r>
        <w:t xml:space="preserve">Polypropylene: 0.36 kgCO2e</w:t>
      </w:r>
    </w:p>
    <w:p>
      <w:pPr>
        <w:numPr>
          <w:ilvl w:val="1"/>
          <w:numId w:val="1004"/>
        </w:numPr>
        <w:pStyle w:val="Compact"/>
      </w:pPr>
      <w:r>
        <w:t xml:space="preserve">Silicon Wafer: 0.15 kgCO2e</w:t>
      </w:r>
    </w:p>
    <w:p>
      <w:pPr>
        <w:numPr>
          <w:ilvl w:val="0"/>
          <w:numId w:val="1000"/>
        </w:numPr>
        <w:pStyle w:val="Compact"/>
      </w:pPr>
      <w:r>
        <w:rPr>
          <w:bCs/>
          <w:b/>
        </w:rPr>
        <w:t xml:space="preserve">Subtotal Materials: 1.76 kgCO2e</w:t>
      </w:r>
    </w:p>
    <w:bookmarkEnd w:id="38"/>
    <w:bookmarkStart w:id="39" w:name="b.-scope-1-2-emissions-core-production"/>
    <w:p>
      <w:pPr>
        <w:pStyle w:val="Heading4"/>
      </w:pPr>
      <w:r>
        <w:t xml:space="preserve">b. Scope 1 &amp; 2 Emissions (Core Production)</w:t>
      </w:r>
    </w:p>
    <w:p>
      <w:pPr>
        <w:pStyle w:val="FirstParagraph"/>
      </w:pPr>
      <w:r>
        <w:t xml:space="preserve">Emissions directly from mizhgzedfr\'s owned or controlled sources (Scope 1) and from the generation of purchased electricity, heat, or steam (Scope 2).</w:t>
      </w:r>
    </w:p>
    <w:p>
      <w:pPr>
        <w:numPr>
          <w:ilvl w:val="0"/>
          <w:numId w:val="1005"/>
        </w:numPr>
        <w:pStyle w:val="Compact"/>
      </w:pPr>
      <w:r>
        <w:rPr>
          <w:bCs/>
          <w:b/>
        </w:rPr>
        <w:t xml:space="preserve">Production Energy:</w:t>
      </w:r>
    </w:p>
    <w:p>
      <w:pPr>
        <w:numPr>
          <w:ilvl w:val="1"/>
          <w:numId w:val="1006"/>
        </w:numPr>
        <w:pStyle w:val="Compact"/>
      </w:pPr>
      <w:r>
        <w:t xml:space="preserve">Total Energy Intensity: 10 kWh/unit</w:t>
      </w:r>
    </w:p>
    <w:p>
      <w:pPr>
        <w:numPr>
          <w:ilvl w:val="1"/>
          <w:numId w:val="1006"/>
        </w:numPr>
        <w:pStyle w:val="Compact"/>
      </w:pPr>
      <w:r>
        <w:t xml:space="preserve">Renewable Energy Usage: 60% (assumed zero emissions from renewable portion)</w:t>
      </w:r>
    </w:p>
    <w:p>
      <w:pPr>
        <w:numPr>
          <w:ilvl w:val="1"/>
          <w:numId w:val="1006"/>
        </w:numPr>
        <w:pStyle w:val="Compact"/>
      </w:pPr>
      <w:r>
        <w:t xml:space="preserve">Grid Electricity Consumption: 10 kWh/unit * (1 - 0.60) = 4 kWh/unit</w:t>
      </w:r>
    </w:p>
    <w:p>
      <w:pPr>
        <w:numPr>
          <w:ilvl w:val="1"/>
          <w:numId w:val="1006"/>
        </w:numPr>
        <w:pStyle w:val="Compact"/>
      </w:pPr>
      <w:r>
        <w:t xml:space="preserve">Grid Electricity Emission Factor (China): 0.7 kgCO2e/kWh (Assumed)</w:t>
      </w:r>
    </w:p>
    <w:p>
      <w:pPr>
        <w:numPr>
          <w:ilvl w:val="1"/>
          <w:numId w:val="1006"/>
        </w:numPr>
        <w:pStyle w:val="Compact"/>
      </w:pPr>
      <w:r>
        <w:rPr>
          <w:bCs/>
          <w:b/>
        </w:rPr>
        <w:t xml:space="preserve">Scope 2 Emissions (Grid Electricity):</w:t>
      </w:r>
      <w:r>
        <w:t xml:space="preserve"> </w:t>
      </w:r>
      <w:r>
        <w:t xml:space="preserve">4 kWh/unit * 0.7 kgCO2e/kWh =</w:t>
      </w:r>
      <w:r>
        <w:t xml:space="preserve"> </w:t>
      </w:r>
      <w:r>
        <w:rPr>
          <w:bCs/>
          <w:b/>
        </w:rPr>
        <w:t xml:space="preserve">2.80 kgCO2e</w:t>
      </w:r>
    </w:p>
    <w:p>
      <w:pPr>
        <w:numPr>
          <w:ilvl w:val="0"/>
          <w:numId w:val="1005"/>
        </w:numPr>
        <w:pStyle w:val="Compact"/>
      </w:pPr>
      <w:r>
        <w:rPr>
          <w:bCs/>
          <w:b/>
        </w:rPr>
        <w:t xml:space="preserve">Scope 1 Emissions:</w:t>
      </w:r>
      <w:r>
        <w:t xml:space="preserve"> </w:t>
      </w:r>
      <w:r>
        <w:t xml:space="preserve">No direct on-site combustion emissions were specified, therefore assumed to be 0 kgCO2e.</w:t>
      </w:r>
    </w:p>
    <w:p>
      <w:pPr>
        <w:pStyle w:val="FirstParagraph"/>
      </w:pPr>
      <w:r>
        <w:rPr>
          <w:bCs/>
          <w:b/>
        </w:rPr>
        <w:t xml:space="preserve">Subtotal Core Production (Scope 1 &amp; 2): 2.80 kgCO2e</w:t>
      </w:r>
    </w:p>
    <w:bookmarkEnd w:id="39"/>
    <w:bookmarkStart w:id="40" w:name="X277c1c8a1a14e38c96ca7411dc74a9c7738a117"/>
    <w:p>
      <w:pPr>
        <w:pStyle w:val="Heading4"/>
      </w:pPr>
      <w:r>
        <w:t xml:space="preserve">c. Scope 3 Emissions (Value Chain - Downstream)</w:t>
      </w:r>
    </w:p>
    <w:p>
      <w:pPr>
        <w:pStyle w:val="FirstParagraph"/>
      </w:pPr>
      <w:r>
        <w:t xml:space="preserve">Emissions from downstream activities, including transportation to customers, product use, and end-of-life treatment.</w:t>
      </w:r>
    </w:p>
    <w:p>
      <w:pPr>
        <w:numPr>
          <w:ilvl w:val="0"/>
          <w:numId w:val="1007"/>
        </w:numPr>
        <w:pStyle w:val="Compact"/>
      </w:pPr>
      <w:r>
        <w:rPr>
          <w:bCs/>
          <w:b/>
        </w:rPr>
        <w:t xml:space="preserve">Distribution (Transport to Customer):</w:t>
      </w:r>
    </w:p>
    <w:p>
      <w:pPr>
        <w:numPr>
          <w:ilvl w:val="1"/>
          <w:numId w:val="1008"/>
        </w:numPr>
        <w:pStyle w:val="Compact"/>
      </w:pPr>
      <w:r>
        <w:t xml:space="preserve">Product Weight: 0.71 kg (from BOM sum)</w:t>
      </w:r>
    </w:p>
    <w:p>
      <w:pPr>
        <w:numPr>
          <w:ilvl w:val="1"/>
          <w:numId w:val="1008"/>
        </w:numPr>
        <w:pStyle w:val="Compact"/>
      </w:pPr>
      <w:r>
        <w:t xml:space="preserve">Transport Mode: Road Freight</w:t>
      </w:r>
    </w:p>
    <w:p>
      <w:pPr>
        <w:numPr>
          <w:ilvl w:val="1"/>
          <w:numId w:val="1008"/>
        </w:numPr>
        <w:pStyle w:val="Compact"/>
      </w:pPr>
      <w:r>
        <w:t xml:space="preserve">Transport Distance: 1500 km</w:t>
      </w:r>
    </w:p>
    <w:p>
      <w:pPr>
        <w:numPr>
          <w:ilvl w:val="1"/>
          <w:numId w:val="1008"/>
        </w:numPr>
        <w:pStyle w:val="Compact"/>
      </w:pPr>
      <w:r>
        <w:t xml:space="preserve">Emission Factor (Road Freight): 0.08 kgCO2e/tonne-km (Assumed)</w:t>
      </w:r>
    </w:p>
    <w:p>
      <w:pPr>
        <w:numPr>
          <w:ilvl w:val="1"/>
          <w:numId w:val="1008"/>
        </w:numPr>
        <w:pStyle w:val="Compact"/>
      </w:pPr>
      <w:r>
        <w:t xml:space="preserve">Emissions from Main Transport: (0.71 kg / 1000) * 1500 km * 0.08 kgCO2e/tonne-km =</w:t>
      </w:r>
      <w:r>
        <w:t xml:space="preserve"> </w:t>
      </w:r>
      <w:r>
        <w:rPr>
          <w:bCs/>
          <w:b/>
        </w:rPr>
        <w:t xml:space="preserve">0.0852 kgCO2e</w:t>
      </w:r>
    </w:p>
    <w:p>
      <w:pPr>
        <w:numPr>
          <w:ilvl w:val="0"/>
          <w:numId w:val="1007"/>
        </w:numPr>
        <w:pStyle w:val="Compact"/>
      </w:pPr>
      <w:r>
        <w:rPr>
          <w:bCs/>
          <w:b/>
        </w:rPr>
        <w:t xml:space="preserve">Last-Mile Delivery:</w:t>
      </w:r>
    </w:p>
    <w:p>
      <w:pPr>
        <w:numPr>
          <w:ilvl w:val="1"/>
          <w:numId w:val="1009"/>
        </w:numPr>
        <w:pStyle w:val="Compact"/>
      </w:pPr>
      <w:r>
        <w:t xml:space="preserve">Delivery Channel: Van Delivery</w:t>
      </w:r>
    </w:p>
    <w:p>
      <w:pPr>
        <w:numPr>
          <w:ilvl w:val="1"/>
          <w:numId w:val="1009"/>
        </w:numPr>
        <w:pStyle w:val="Compact"/>
      </w:pPr>
      <w:r>
        <w:t xml:space="preserve">Emission Factor (Last-Mile): 0.1 kgCO2e/unit (Assumed)</w:t>
      </w:r>
    </w:p>
    <w:p>
      <w:pPr>
        <w:numPr>
          <w:ilvl w:val="1"/>
          <w:numId w:val="1009"/>
        </w:numPr>
        <w:pStyle w:val="Compact"/>
      </w:pPr>
      <w:r>
        <w:t xml:space="preserve">Emissions from Last-Mile:</w:t>
      </w:r>
      <w:r>
        <w:t xml:space="preserve"> </w:t>
      </w:r>
      <w:r>
        <w:rPr>
          <w:bCs/>
          <w:b/>
        </w:rPr>
        <w:t xml:space="preserve">0.10 kgCO2e</w:t>
      </w:r>
    </w:p>
    <w:p>
      <w:pPr>
        <w:numPr>
          <w:ilvl w:val="0"/>
          <w:numId w:val="1000"/>
        </w:numPr>
        <w:pStyle w:val="Compact"/>
      </w:pPr>
      <w:r>
        <w:rPr>
          <w:bCs/>
          <w:b/>
        </w:rPr>
        <w:t xml:space="preserve">Subtotal Transport: 0.1852 kgCO2e</w:t>
      </w:r>
    </w:p>
    <w:p>
      <w:pPr>
        <w:numPr>
          <w:ilvl w:val="0"/>
          <w:numId w:val="1007"/>
        </w:numPr>
        <w:pStyle w:val="Compact"/>
      </w:pPr>
      <w:r>
        <w:rPr>
          <w:bCs/>
          <w:b/>
        </w:rPr>
        <w:t xml:space="preserve">Use Phase:</w:t>
      </w:r>
    </w:p>
    <w:p>
      <w:pPr>
        <w:numPr>
          <w:ilvl w:val="1"/>
          <w:numId w:val="1010"/>
        </w:numPr>
        <w:pStyle w:val="Compact"/>
      </w:pPr>
      <w:r>
        <w:t xml:space="preserve">Product Lifespan: 3 years</w:t>
      </w:r>
    </w:p>
    <w:p>
      <w:pPr>
        <w:numPr>
          <w:ilvl w:val="1"/>
          <w:numId w:val="1010"/>
        </w:numPr>
        <w:pStyle w:val="Compact"/>
      </w:pPr>
      <w:r>
        <w:t xml:space="preserve">Energy Consumption in Use: 5 kWh/year</w:t>
      </w:r>
    </w:p>
    <w:p>
      <w:pPr>
        <w:numPr>
          <w:ilvl w:val="1"/>
          <w:numId w:val="1010"/>
        </w:numPr>
        <w:pStyle w:val="Compact"/>
      </w:pPr>
      <w:r>
        <w:t xml:space="preserve">Total Use Phase Energy: 5 kWh/year * 3 years = 15 kWh/unit</w:t>
      </w:r>
    </w:p>
    <w:p>
      <w:pPr>
        <w:numPr>
          <w:ilvl w:val="1"/>
          <w:numId w:val="1010"/>
        </w:numPr>
        <w:pStyle w:val="Compact"/>
      </w:pPr>
      <w:r>
        <w:t xml:space="preserve">Grid Electricity Emission Factor (Europe): 0.25 kgCO2e/kWh (Assumed)</w:t>
      </w:r>
    </w:p>
    <w:p>
      <w:pPr>
        <w:numPr>
          <w:ilvl w:val="1"/>
          <w:numId w:val="1010"/>
        </w:numPr>
        <w:pStyle w:val="Compact"/>
      </w:pPr>
      <w:r>
        <w:rPr>
          <w:bCs/>
          <w:b/>
        </w:rPr>
        <w:t xml:space="preserve">Emissions from Use Phase:</w:t>
      </w:r>
      <w:r>
        <w:t xml:space="preserve"> </w:t>
      </w:r>
      <w:r>
        <w:t xml:space="preserve">15 kWh/unit * 0.25 kgCO2e/kWh =</w:t>
      </w:r>
      <w:r>
        <w:t xml:space="preserve"> </w:t>
      </w:r>
      <w:r>
        <w:rPr>
          <w:bCs/>
          <w:b/>
        </w:rPr>
        <w:t xml:space="preserve">3.75 kgCO2e</w:t>
      </w:r>
    </w:p>
    <w:p>
      <w:pPr>
        <w:numPr>
          <w:ilvl w:val="0"/>
          <w:numId w:val="1007"/>
        </w:numPr>
        <w:pStyle w:val="Compact"/>
      </w:pPr>
      <w:r>
        <w:rPr>
          <w:bCs/>
          <w:b/>
        </w:rPr>
        <w:t xml:space="preserve">End-of-Life (EoL):</w:t>
      </w:r>
    </w:p>
    <w:p>
      <w:pPr>
        <w:numPr>
          <w:ilvl w:val="1"/>
          <w:numId w:val="1011"/>
        </w:numPr>
        <w:pStyle w:val="Compact"/>
      </w:pPr>
      <w:r>
        <w:t xml:space="preserve">Recyclability Percentage: 80%</w:t>
      </w:r>
    </w:p>
    <w:p>
      <w:pPr>
        <w:numPr>
          <w:ilvl w:val="1"/>
          <w:numId w:val="1011"/>
        </w:numPr>
        <w:pStyle w:val="Compact"/>
      </w:pPr>
      <w:r>
        <w:t xml:space="preserve">Non-recycled portion: 100% - 80% = 20%</w:t>
      </w:r>
    </w:p>
    <w:p>
      <w:pPr>
        <w:numPr>
          <w:ilvl w:val="1"/>
          <w:numId w:val="1011"/>
        </w:numPr>
        <w:pStyle w:val="Compact"/>
      </w:pPr>
      <w:r>
        <w:t xml:space="preserve">Weight to Landfill: 0.71 kg * 0.20 = 0.142 kg</w:t>
      </w:r>
    </w:p>
    <w:p>
      <w:pPr>
        <w:numPr>
          <w:ilvl w:val="1"/>
          <w:numId w:val="1011"/>
        </w:numPr>
        <w:pStyle w:val="Compact"/>
      </w:pPr>
      <w:r>
        <w:t xml:space="preserve">Landfill Emission Factor: 1.0 kgCO2e/kg (Assumed)</w:t>
      </w:r>
    </w:p>
    <w:p>
      <w:pPr>
        <w:numPr>
          <w:ilvl w:val="1"/>
          <w:numId w:val="1011"/>
        </w:numPr>
        <w:pStyle w:val="Compact"/>
      </w:pPr>
      <w:r>
        <w:rPr>
          <w:bCs/>
          <w:b/>
        </w:rPr>
        <w:t xml:space="preserve">Emissions from Landfill:</w:t>
      </w:r>
      <w:r>
        <w:t xml:space="preserve"> </w:t>
      </w:r>
      <w:r>
        <w:t xml:space="preserve">0.142 kg * 1.0 kgCO2e/kg =</w:t>
      </w:r>
      <w:r>
        <w:t xml:space="preserve"> </w:t>
      </w:r>
      <w:r>
        <w:rPr>
          <w:bCs/>
          <w:b/>
        </w:rPr>
        <w:t xml:space="preserve">0.142 kgCO2e</w:t>
      </w:r>
    </w:p>
    <w:p>
      <w:pPr>
        <w:numPr>
          <w:ilvl w:val="1"/>
          <w:numId w:val="1011"/>
        </w:numPr>
        <w:pStyle w:val="Compact"/>
      </w:pPr>
      <w:r>
        <w:rPr>
          <w:bCs/>
          <w:b/>
        </w:rPr>
        <w:t xml:space="preserve">Circular/Take-back Programs (`qftqruypst`):</w:t>
      </w:r>
      <w:r>
        <w:t xml:space="preserve"> </w:t>
      </w:r>
      <w:r>
        <w:t xml:space="preserve">The presence of take-back programs indicates a commitment to circularity, potentially leading to future carbon credits from material recovery and reuse. For this report, credits are not explicitly quantified due to lack of specific displacement data, but the high recyclability minimizes disposal impacts.</w:t>
      </w:r>
    </w:p>
    <w:p>
      <w:pPr>
        <w:numPr>
          <w:ilvl w:val="0"/>
          <w:numId w:val="1000"/>
        </w:numPr>
        <w:pStyle w:val="Compact"/>
      </w:pPr>
      <w:r>
        <w:rPr>
          <w:bCs/>
          <w:b/>
        </w:rPr>
        <w:t xml:space="preserve">Subtotal End-of-Life: 0.142 kgCO2e</w:t>
      </w:r>
    </w:p>
    <w:bookmarkEnd w:id="40"/>
    <w:bookmarkEnd w:id="41"/>
    <w:bookmarkStart w:id="42" w:name="summary-of-emissions-by-scope-and-stage"/>
    <w:p>
      <w:pPr>
        <w:pStyle w:val="Heading3"/>
      </w:pPr>
      <w:r>
        <w:t xml:space="preserve">Summary of Emissions by Scope and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Percentage of Total PCF</w:t>
            </w:r>
          </w:p>
        </w:tc>
      </w:tr>
      <w:tr>
        <w:tc>
          <w:tcPr/>
          <w:p>
            <w:pPr>
              <w:pStyle w:val="Compact"/>
              <w:jc w:val="left"/>
            </w:pPr>
            <w:r>
              <w:t xml:space="preserve">Materials (Raw Material Acquisition &amp; Processing)</w:t>
            </w:r>
          </w:p>
        </w:tc>
        <w:tc>
          <w:tcPr/>
          <w:p>
            <w:pPr>
              <w:pStyle w:val="Compact"/>
              <w:jc w:val="left"/>
            </w:pPr>
            <w:r>
              <w:t xml:space="preserve">Scope 3 (Upstream)</w:t>
            </w:r>
          </w:p>
        </w:tc>
        <w:tc>
          <w:tcPr/>
          <w:p>
            <w:pPr>
              <w:pStyle w:val="Compact"/>
              <w:jc w:val="left"/>
            </w:pPr>
            <w:r>
              <w:t xml:space="preserve">1.76</w:t>
            </w:r>
          </w:p>
        </w:tc>
        <w:tc>
          <w:tcPr/>
          <w:p>
            <w:pPr>
              <w:pStyle w:val="Compact"/>
              <w:jc w:val="left"/>
            </w:pPr>
            <w:r>
              <w:t xml:space="preserve">22.92%</w:t>
            </w:r>
          </w:p>
        </w:tc>
      </w:tr>
      <w:tr>
        <w:tc>
          <w:tcPr/>
          <w:p>
            <w:pPr>
              <w:pStyle w:val="Compact"/>
              <w:jc w:val="left"/>
            </w:pPr>
            <w:r>
              <w:t xml:space="preserve">Production (Manufacturing Energy)</w:t>
            </w:r>
          </w:p>
        </w:tc>
        <w:tc>
          <w:tcPr/>
          <w:p>
            <w:pPr>
              <w:pStyle w:val="Compact"/>
              <w:jc w:val="left"/>
            </w:pPr>
            <w:r>
              <w:t xml:space="preserve">Scope 2 (Purchased Electricity)</w:t>
            </w:r>
          </w:p>
        </w:tc>
        <w:tc>
          <w:tcPr/>
          <w:p>
            <w:pPr>
              <w:pStyle w:val="Compact"/>
              <w:jc w:val="left"/>
            </w:pPr>
            <w:r>
              <w:t xml:space="preserve">2.80</w:t>
            </w:r>
          </w:p>
        </w:tc>
        <w:tc>
          <w:tcPr/>
          <w:p>
            <w:pPr>
              <w:pStyle w:val="Compact"/>
              <w:jc w:val="left"/>
            </w:pPr>
            <w:r>
              <w:t xml:space="preserve">36.46%</w:t>
            </w:r>
          </w:p>
        </w:tc>
      </w:tr>
      <w:tr>
        <w:tc>
          <w:tcPr/>
          <w:p>
            <w:pPr>
              <w:pStyle w:val="Compact"/>
              <w:jc w:val="left"/>
            </w:pPr>
            <w:r>
              <w:t xml:space="preserve">Distribution (Transport to Customer)</w:t>
            </w:r>
          </w:p>
        </w:tc>
        <w:tc>
          <w:tcPr/>
          <w:p>
            <w:pPr>
              <w:pStyle w:val="Compact"/>
              <w:jc w:val="left"/>
            </w:pPr>
            <w:r>
              <w:t xml:space="preserve">Scope 3 (Downstream)</w:t>
            </w:r>
          </w:p>
        </w:tc>
        <w:tc>
          <w:tcPr/>
          <w:p>
            <w:pPr>
              <w:pStyle w:val="Compact"/>
              <w:jc w:val="left"/>
            </w:pPr>
            <w:r>
              <w:t xml:space="preserve">0.1852</w:t>
            </w:r>
          </w:p>
        </w:tc>
        <w:tc>
          <w:tcPr/>
          <w:p>
            <w:pPr>
              <w:pStyle w:val="Compact"/>
              <w:jc w:val="left"/>
            </w:pPr>
            <w:r>
              <w:t xml:space="preserve">2.41%</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3.75</w:t>
            </w:r>
          </w:p>
        </w:tc>
        <w:tc>
          <w:tcPr/>
          <w:p>
            <w:pPr>
              <w:pStyle w:val="Compact"/>
              <w:jc w:val="left"/>
            </w:pPr>
            <w:r>
              <w:t xml:space="preserve">48.83%</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0.142</w:t>
            </w:r>
          </w:p>
        </w:tc>
        <w:tc>
          <w:tcPr/>
          <w:p>
            <w:pPr>
              <w:pStyle w:val="Compact"/>
              <w:jc w:val="left"/>
            </w:pPr>
            <w:r>
              <w:t xml:space="preserve">1.85%</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7.68</w:t>
            </w:r>
          </w:p>
        </w:tc>
        <w:tc>
          <w:tcPr/>
          <w:p>
            <w:pPr>
              <w:pStyle w:val="Compact"/>
              <w:jc w:val="left"/>
            </w:pPr>
            <w:r>
              <w:rPr>
                <w:bCs/>
                <w:b/>
              </w:rPr>
              <w:t xml:space="preserve">100.00%</w:t>
            </w:r>
          </w:p>
        </w:tc>
      </w:tr>
    </w:tbl>
    <w:bookmarkEnd w:id="42"/>
    <w:bookmarkStart w:id="43" w:name="ghg-protocol-adherence-2026-lsr-update"/>
    <w:p>
      <w:pPr>
        <w:pStyle w:val="Heading3"/>
      </w:pPr>
      <w:r>
        <w:t xml:space="preserve">GHG Protocol Adherence &amp; 2026 LSR Update</w:t>
      </w:r>
    </w:p>
    <w:p>
      <w:pPr>
        <w:pStyle w:val="FirstParagraph"/>
      </w:pPr>
      <w:r>
        <w:t xml:space="preserve">The calculations adhere to the GHG Protocol Product Standard. Emissions are categorized into Scope 1 (direct, none identified here), Scope 2 (purchased electricity for production), and Scope 3 (all other indirect emissions across the value chain).</w:t>
      </w:r>
      <w:r>
        <w:t xml:space="preserve"> </w:t>
      </w:r>
      <w:r>
        <w:t xml:space="preserve">The</w:t>
      </w:r>
      <w:r>
        <w:t xml:space="preserve"> </w:t>
      </w:r>
      <w:r>
        <w:rPr>
          <w:bCs/>
          <w:b/>
        </w:rPr>
        <w:t xml:space="preserve">2026 Land Sector and Removals (LSR) Standard</w:t>
      </w:r>
      <w:r>
        <w:t xml:space="preserve"> </w:t>
      </w:r>
      <w:r>
        <w:t xml:space="preserve">has been considered. For product fefvjifxwh, composed primarily of metallic, plastic, and electronic components, direct land use change or significant biogenic carbon flows are not primary drivers of its footprint. However, relevant upstream emission factors from databases are assumed to implicitly account for land use impacts associated with raw material extraction and energy production where applicable. Any potential removals through durable biogenic carbon storage would be reported under the LSR Standard if present. Given the materials, direct removals are negligible for this product.</w:t>
      </w:r>
    </w:p>
    <w:bookmarkEnd w:id="43"/>
    <w:bookmarkStart w:id="44" w:name="scope-3-compliance"/>
    <w:p>
      <w:pPr>
        <w:pStyle w:val="Heading3"/>
      </w:pPr>
      <w:r>
        <w:t xml:space="preserve">Scope 3 Compliance</w:t>
      </w:r>
    </w:p>
    <w:p>
      <w:pPr>
        <w:pStyle w:val="FirstParagraph"/>
      </w:pPr>
      <w:r>
        <w:t xml:space="preserve">This analysis ensures substantial coverage for Scope 3 reporting, targeting the 95% coverage requirement for 2026. By including purchased goods and services (materials), inbound and outbound logistics, use phase, and end-of-life, the most significant categories of value chain emissions for a product are covered. Minor categories such as capital goods, business travel, or employee commuting, while part of a corporate footprint, are generally negligible for a product-level PCF unless specifically material to the product itself.</w:t>
      </w:r>
    </w:p>
    <w:p>
      <w:r>
        <w:pict>
          <v:rect style="width:0;height:1.5pt" o:hralign="center" o:hrstd="t" o:hr="t"/>
        </w:pict>
      </w:r>
    </w:p>
    <w:bookmarkEnd w:id="44"/>
    <w:bookmarkEnd w:id="45"/>
    <w:bookmarkStart w:id="50" w:name="review-report"/>
    <w:p>
      <w:pPr>
        <w:pStyle w:val="Heading2"/>
      </w:pPr>
      <w:r>
        <w:t xml:space="preserve">5. Review &amp; Report</w:t>
      </w:r>
    </w:p>
    <w:bookmarkStart w:id="46" w:name="emission-hotspots"/>
    <w:p>
      <w:pPr>
        <w:pStyle w:val="Heading3"/>
      </w:pPr>
      <w:r>
        <w:t xml:space="preserve">Emission Hotspots</w:t>
      </w:r>
    </w:p>
    <w:p>
      <w:pPr>
        <w:pStyle w:val="FirstParagraph"/>
      </w:pPr>
      <w:r>
        <w:t xml:space="preserve">The primary emission hotspots for fefvjifxwh are identified as:</w:t>
      </w:r>
    </w:p>
    <w:p>
      <w:pPr>
        <w:numPr>
          <w:ilvl w:val="0"/>
          <w:numId w:val="1012"/>
        </w:numPr>
        <w:pStyle w:val="Compact"/>
      </w:pPr>
      <w:r>
        <w:rPr>
          <w:bCs/>
          <w:b/>
        </w:rPr>
        <w:t xml:space="preserve">Use Phase (48.83%):</w:t>
      </w:r>
      <w:r>
        <w:t xml:space="preserve"> </w:t>
      </w:r>
      <w:r>
        <w:t xml:space="preserve">The energy consumption during the product\'s lifespan is the single largest contributor to its PCF. This highlights a critical area for improvement through energy-efficient design or promoting renewable energy use by consumers.</w:t>
      </w:r>
    </w:p>
    <w:p>
      <w:pPr>
        <w:numPr>
          <w:ilvl w:val="0"/>
          <w:numId w:val="1012"/>
        </w:numPr>
        <w:pStyle w:val="Compact"/>
      </w:pPr>
      <w:r>
        <w:rPr>
          <w:bCs/>
          <w:b/>
        </w:rPr>
        <w:t xml:space="preserve">Production (36.46%):</w:t>
      </w:r>
      <w:r>
        <w:t xml:space="preserve"> </w:t>
      </w:r>
      <w:r>
        <w:t xml:space="preserve">Purchased electricity for manufacturing is the second largest hotspot. Increasing the share of renewable energy beyond the current 60% at the production facility would significantly reduce this impact.</w:t>
      </w:r>
    </w:p>
    <w:p>
      <w:pPr>
        <w:numPr>
          <w:ilvl w:val="0"/>
          <w:numId w:val="1012"/>
        </w:numPr>
        <w:pStyle w:val="Compact"/>
      </w:pPr>
      <w:r>
        <w:rPr>
          <w:bCs/>
          <w:b/>
        </w:rPr>
        <w:t xml:space="preserve">Materials (22.92%):</w:t>
      </w:r>
      <w:r>
        <w:t xml:space="preserve"> </w:t>
      </w:r>
      <w:r>
        <w:t xml:space="preserve">The embodied carbon in raw materials, particularly aluminum alloy, contributes significantly. Opportunities for using lower-carbon materials, recycled content, or lightweighting should be explored.</w:t>
      </w:r>
    </w:p>
    <w:bookmarkEnd w:id="46"/>
    <w:bookmarkStart w:id="47" w:name="reliability-and-limitations"/>
    <w:p>
      <w:pPr>
        <w:pStyle w:val="Heading3"/>
      </w:pPr>
      <w:r>
        <w:t xml:space="preserve">Reliability and Limitations</w:t>
      </w:r>
    </w:p>
    <w:p>
      <w:pPr>
        <w:pStyle w:val="FirstParagraph"/>
      </w:pPr>
      <w:r>
        <w:t xml:space="preserve">The reliability of this PCF is considered high, given the use of specific primary data for key parameters (BOM, energy usage, lifespan) and industry-standard secondary emission factors. Limitations include:</w:t>
      </w:r>
    </w:p>
    <w:p>
      <w:pPr>
        <w:numPr>
          <w:ilvl w:val="0"/>
          <w:numId w:val="1013"/>
        </w:numPr>
        <w:pStyle w:val="Compact"/>
      </w:pPr>
      <w:r>
        <w:rPr>
          <w:bCs/>
          <w:b/>
        </w:rPr>
        <w:t xml:space="preserve">Assumed Emission Factors:</w:t>
      </w:r>
      <w:r>
        <w:t xml:space="preserve"> </w:t>
      </w:r>
      <w:r>
        <w:t xml:space="preserve">Some emission factors for generic processes (e.g., specific transport modes, last-mile delivery, waste disposal) are based on common industry averages rather than highly specific, verified data for mizhgzedfr\'s exact suppliers or waste management partners.</w:t>
      </w:r>
    </w:p>
    <w:p>
      <w:pPr>
        <w:numPr>
          <w:ilvl w:val="0"/>
          <w:numId w:val="1013"/>
        </w:numPr>
        <w:pStyle w:val="Compact"/>
      </w:pPr>
      <w:r>
        <w:rPr>
          <w:bCs/>
          <w:b/>
        </w:rPr>
        <w:t xml:space="preserve">Simplified EoL Credits:</w:t>
      </w:r>
      <w:r>
        <w:t xml:space="preserve"> </w:t>
      </w:r>
      <w:r>
        <w:t xml:space="preserve">While recyclability is high, specific credits for displaced virgin materials were not quantified due to the complexity of modeling material loops without more detailed system boundary conditions for material recovery.</w:t>
      </w:r>
    </w:p>
    <w:p>
      <w:pPr>
        <w:numPr>
          <w:ilvl w:val="0"/>
          <w:numId w:val="1013"/>
        </w:numPr>
        <w:pStyle w:val="Compact"/>
      </w:pPr>
      <w:r>
        <w:rPr>
          <w:bCs/>
          <w:b/>
        </w:rPr>
        <w:t xml:space="preserve">Interpretation of `factory_gate` boundary:</w:t>
      </w:r>
      <w:r>
        <w:t xml:space="preserve"> </w:t>
      </w:r>
      <w:r>
        <w:t xml:space="preserve">The analysis interpreted the `factory_gate` parameter as the primary manufacturing boundary but expanded to a cradle-to-grave approach for a full PCF, which is a common practice for comprehensive product assessments.</w:t>
      </w:r>
    </w:p>
    <w:bookmarkEnd w:id="47"/>
    <w:bookmarkStart w:id="49" w:name="recommendations"/>
    <w:p>
      <w:pPr>
        <w:pStyle w:val="Heading3"/>
      </w:pPr>
      <w:r>
        <w:t xml:space="preserve">Recommendations</w:t>
      </w:r>
    </w:p>
    <w:p>
      <w:pPr>
        <w:numPr>
          <w:ilvl w:val="0"/>
          <w:numId w:val="1014"/>
        </w:numPr>
        <w:pStyle w:val="Compact"/>
      </w:pPr>
      <w:r>
        <w:rPr>
          <w:bCs/>
          <w:b/>
        </w:rPr>
        <w:t xml:space="preserve">Optimize Use Phase Efficiency:</w:t>
      </w:r>
      <w:r>
        <w:t xml:space="preserve"> </w:t>
      </w:r>
      <w:r>
        <w:t xml:space="preserve">Invest in R&amp;D to enhance the energy efficiency of fefvjifxwh during its operational life. Provide users with guidance on sustainable usage and encourage renewable energy sources for product operation.</w:t>
      </w:r>
    </w:p>
    <w:p>
      <w:pPr>
        <w:numPr>
          <w:ilvl w:val="0"/>
          <w:numId w:val="1014"/>
        </w:numPr>
        <w:pStyle w:val="Compact"/>
      </w:pPr>
      <w:r>
        <w:rPr>
          <w:bCs/>
          <w:b/>
        </w:rPr>
        <w:t xml:space="preserve">Decarbonize Production:</w:t>
      </w:r>
      <w:r>
        <w:t xml:space="preserve"> </w:t>
      </w:r>
      <w:r>
        <w:t xml:space="preserve">Increase the percentage of renewable energy used in the China production facility, potentially through on-site generation or purchasing certified renewable energy. Explore energy-efficient manufacturing processes.</w:t>
      </w:r>
    </w:p>
    <w:p>
      <w:pPr>
        <w:numPr>
          <w:ilvl w:val="0"/>
          <w:numId w:val="1014"/>
        </w:numPr>
        <w:pStyle w:val="Compact"/>
      </w:pPr>
      <w:r>
        <w:rPr>
          <w:bCs/>
          <w:b/>
        </w:rPr>
        <w:t xml:space="preserve">Sustainable Material Sourcing:</w:t>
      </w:r>
      <w:r>
        <w:t xml:space="preserve"> </w:t>
      </w:r>
      <w:r>
        <w:t xml:space="preserve">Investigate opportunities to substitute high-carbon materials with lower-impact alternatives, increase recycled content, and optimize material usage to reduce the product\'s overall weight and material footprint.</w:t>
      </w:r>
    </w:p>
    <w:p>
      <w:pPr>
        <w:numPr>
          <w:ilvl w:val="0"/>
          <w:numId w:val="1014"/>
        </w:numPr>
        <w:pStyle w:val="Compact"/>
      </w:pPr>
      <w:r>
        <w:rPr>
          <w:bCs/>
          <w:b/>
        </w:rPr>
        <w:t xml:space="preserve">Enhance Circularity:</w:t>
      </w:r>
      <w:r>
        <w:t xml:space="preserve"> </w:t>
      </w:r>
      <w:r>
        <w:t xml:space="preserve">Leverage the existing `qftqruypst` programs to maximize material recovery and explore opportunities to close material loops, potentially generating carbon credits in future analyses.</w:t>
      </w:r>
    </w:p>
    <w:p>
      <w:r>
        <w:pict>
          <v:rect style="width:0;height:1.5pt" o:hralign="center" o:hrstd="t" o:hr="t"/>
        </w:pict>
      </w:r>
    </w:p>
    <w:p>
      <w:pPr>
        <w:pStyle w:val="FirstParagraph"/>
      </w:pPr>
      <w:r>
        <w:t xml:space="preserve">Confidential - Internal Use Only | Page</w:t>
      </w:r>
      <w:r>
        <w:t xml:space="preserve"> </w:t>
      </w:r>
      <w:bookmarkStart w:id="48" w:name="page-number"/>
      <w:bookmarkEnd w:id="48"/>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fefvjifxwh</dc:title>
  <dc:creator/>
  <dc:description>Detailed Product Carbon Footprint (PCF) analysis report for fefvjifxwh by Senior Sustainability Consultant kyqiluqmrt, adhering to GHG Protocol standards and 2026 LSR update.</dc:description>
  <dc:language>en</dc:language>
  <cp:keywords/>
  <dcterms:created xsi:type="dcterms:W3CDTF">2026-05-30T20:12:36Z</dcterms:created>
  <dcterms:modified xsi:type="dcterms:W3CDTF">2026-05-30T20:12:36Z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