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eynzjopxsh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eynzjopxsh</w:t>
      </w:r>
    </w:p>
    <w:p>
      <w:pPr>
        <w:pStyle w:val="BodyText"/>
      </w:pPr>
      <w:r>
        <w:rPr>
          <w:bCs/>
          <w:b/>
        </w:rPr>
        <w:t xml:space="preserve">Company Name:</w:t>
      </w:r>
      <w:r>
        <w:t xml:space="preserve"> </w:t>
      </w:r>
      <w:r>
        <w:t xml:space="preserve">pmfqnfvxgy</w:t>
      </w:r>
    </w:p>
    <w:p>
      <w:pPr>
        <w:pStyle w:val="BodyText"/>
      </w:pPr>
      <w:r>
        <w:rPr>
          <w:bCs/>
          <w:b/>
        </w:rPr>
        <w:t xml:space="preserve">Senior Sustainability Consultant:</w:t>
      </w:r>
      <w:r>
        <w:t xml:space="preserve"> </w:t>
      </w:r>
      <w:r>
        <w:t xml:space="preserve">lvdvdewgqv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estimate of the product\'s carbon footprint. Actual emissions may vary.</w:t>
      </w:r>
    </w:p>
    <w:bookmarkEnd w:id="20"/>
    <w:bookmarkStart w:id="21" w:name="product-carbon-footprint-report"/>
    <w:p>
      <w:pPr>
        <w:pStyle w:val="Heading1"/>
      </w:pPr>
      <w:r>
        <w:t xml:space="preserve">Product Carbon Footprint Report</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\'eynzjopxsh\', produced by pmfqnfvxgy. The analysis was conducted by lvdvdewgqv, Senior Sustainability Consultant, adhering strictly to the GHG Protocol accounting standard. The primary objective was to quantify the greenhouse gas (GHG) emissions across the product\'s lifecycle, from raw material acquisition to end-of-life, with a focus on identifying emission hotspots. The total carbon footprint for one functional unit of eynzjopxsh is calculated to be 18.28 kg CO2e. Key findings indicate that material acquisition and use phase energy consumption are significant contributors to the overall footprint.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performed according to the GHG Protocol\'s Product Life Cycle Accounting and Reporting Standard. This methodology ensures a comprehensive assessment of greenhouse gas emissions throughout the product\'s value chain.</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eynzjopxsh.</w:t>
      </w:r>
    </w:p>
    <w:p>
      <w:pPr>
        <w:numPr>
          <w:ilvl w:val="0"/>
          <w:numId w:val="1001"/>
        </w:numPr>
        <w:pStyle w:val="Compact"/>
      </w:pPr>
      <w:r>
        <w:rPr>
          <w:bCs/>
          <w:b/>
        </w:rPr>
        <w:t xml:space="preserve">System Boundary:</w:t>
      </w:r>
      <w:r>
        <w:t xml:space="preserve"> </w:t>
      </w:r>
      <w:r>
        <w:t xml:space="preserve">While the primary declared boundary is \'factory_gate\' (cradle-to-gate), this analysis extends to a cradle-to-grave perspective to incorporate the significant environmental impacts of the use phase and end-of-life scenarios as per the provided parameters. This provides a holistic view of the product\'s lifecycle emissions.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downstream distribution and use phase assumptions).</w:t>
      </w:r>
    </w:p>
    <w:p>
      <w:pPr>
        <w:numPr>
          <w:ilvl w:val="0"/>
          <w:numId w:val="1001"/>
        </w:numPr>
        <w:pStyle w:val="Compact"/>
      </w:pPr>
      <w:r>
        <w:rPr>
          <w:bCs/>
          <w:b/>
        </w:rPr>
        <w:t xml:space="preserve">Accounting Standard:</w:t>
      </w:r>
      <w:r>
        <w:t xml:space="preserve"> </w:t>
      </w:r>
      <w:r>
        <w:t xml:space="preserve">GHG Protocol, categorizing emissions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All emissions are directly allocated to the functional unit \'eynzjopxsh\'. Co-product allocation was not required based on the provided data.</w:t>
      </w:r>
    </w:p>
    <w:bookmarkEnd w:id="23"/>
    <w:bookmarkStart w:id="24" w:name="lifecycle-mapping-lci-inventory-stages"/>
    <w:p>
      <w:pPr>
        <w:pStyle w:val="Heading3"/>
      </w:pPr>
      <w:r>
        <w:t xml:space="preserve">1.2. Lifecycle Mapping (LCI Inventory Stages)</w:t>
      </w:r>
    </w:p>
    <w:p>
      <w:pPr>
        <w:pStyle w:val="FirstParagraph"/>
      </w:pPr>
      <w:r>
        <w:t xml:space="preserve">The lifecycle stages considered for eynzjopxsh include:</w:t>
      </w:r>
    </w:p>
    <w:p>
      <w:pPr>
        <w:numPr>
          <w:ilvl w:val="0"/>
          <w:numId w:val="1003"/>
        </w:numPr>
        <w:pStyle w:val="Compact"/>
      </w:pPr>
      <w:r>
        <w:rPr>
          <w:bCs/>
          <w:b/>
        </w:rPr>
        <w:t xml:space="preserve">Material Acquisition &amp; Pre-processing:</w:t>
      </w:r>
      <w:r>
        <w:t xml:space="preserve"> </w:t>
      </w:r>
      <w:r>
        <w:t xml:space="preserve">Extraction, processing, and manufacturing of raw materials.</w:t>
      </w:r>
    </w:p>
    <w:p>
      <w:pPr>
        <w:numPr>
          <w:ilvl w:val="0"/>
          <w:numId w:val="1003"/>
        </w:numPr>
        <w:pStyle w:val="Compact"/>
      </w:pPr>
      <w:r>
        <w:rPr>
          <w:bCs/>
          <w:b/>
        </w:rPr>
        <w:t xml:space="preserve">Manufacturing:</w:t>
      </w:r>
      <w:r>
        <w:t xml:space="preserve"> </w:t>
      </w:r>
      <w:r>
        <w:t xml:space="preserve">Production processes at pmfqnfvxgy\'s facility in China, including energy consumption.</w:t>
      </w:r>
    </w:p>
    <w:p>
      <w:pPr>
        <w:numPr>
          <w:ilvl w:val="0"/>
          <w:numId w:val="1003"/>
        </w:numPr>
        <w:pStyle w:val="Compact"/>
      </w:pPr>
      <w:r>
        <w:rPr>
          <w:bCs/>
          <w:b/>
        </w:rPr>
        <w:t xml:space="preserve">Transport &amp; Distribution:</w:t>
      </w:r>
      <w:r>
        <w:t xml:space="preserve"> </w:t>
      </w:r>
      <w:r>
        <w:t xml:space="preserve">Upstream transportation of materials to the factory, and downstream distribution of the finished product to the market, including last-mile delivery.</w:t>
      </w:r>
    </w:p>
    <w:p>
      <w:pPr>
        <w:numPr>
          <w:ilvl w:val="0"/>
          <w:numId w:val="1003"/>
        </w:numPr>
        <w:pStyle w:val="Compact"/>
      </w:pPr>
      <w:r>
        <w:rPr>
          <w:bCs/>
          <w:b/>
        </w:rPr>
        <w:t xml:space="preserve">Use Phase:</w:t>
      </w:r>
      <w:r>
        <w:t xml:space="preserve"> </w:t>
      </w:r>
      <w:r>
        <w:t xml:space="preserve">Energy consumption during the product\'s estimated lifespan.</w:t>
      </w:r>
    </w:p>
    <w:p>
      <w:pPr>
        <w:numPr>
          <w:ilvl w:val="0"/>
          <w:numId w:val="1003"/>
        </w:numPr>
        <w:pStyle w:val="Compact"/>
      </w:pPr>
      <w:r>
        <w:rPr>
          <w:bCs/>
          <w:b/>
        </w:rPr>
        <w:t xml:space="preserve">End-of-Life:</w:t>
      </w:r>
      <w:r>
        <w:t xml:space="preserve"> </w:t>
      </w:r>
      <w:r>
        <w:t xml:space="preserve">Disposal or recycling processes after the product\'s useful life.</w:t>
      </w:r>
    </w:p>
    <w:bookmarkEnd w:id="24"/>
    <w:bookmarkStart w:id="25" w:name="data-collection"/>
    <w:p>
      <w:pPr>
        <w:pStyle w:val="Heading3"/>
      </w:pPr>
      <w:r>
        <w:t xml:space="preserve">1.3. Data Collection</w:t>
      </w:r>
    </w:p>
    <w:p>
      <w:pPr>
        <w:pStyle w:val="FirstParagraph"/>
      </w:pPr>
      <w:r>
        <w:t xml:space="preserve">Both primary and secondary data were collected:</w:t>
      </w:r>
    </w:p>
    <w:p>
      <w:pPr>
        <w:numPr>
          <w:ilvl w:val="0"/>
          <w:numId w:val="1004"/>
        </w:numPr>
        <w:pStyle w:val="Compact"/>
      </w:pPr>
      <w:r>
        <w:rPr>
          <w:bCs/>
          <w:b/>
        </w:rPr>
        <w:t xml:space="preserve">Primary Data:</w:t>
      </w:r>
      <w:r>
        <w:t xml:space="preserve"> </w:t>
      </w:r>
      <w:r>
        <w:t xml:space="preserve">Detailed Bill of Materials (BOM), manufacturing energy intensity, renewable energy usage, transport mode and distance, product lifespan, energy consumption in use, recyclability percentage, and circular programs.</w:t>
      </w:r>
    </w:p>
    <w:p>
      <w:pPr>
        <w:numPr>
          <w:ilvl w:val="0"/>
          <w:numId w:val="1004"/>
        </w:numPr>
        <w:pStyle w:val="Compact"/>
      </w:pPr>
      <w:r>
        <w:rPr>
          <w:bCs/>
          <w:b/>
        </w:rPr>
        <w:t xml:space="preserve">Secondary Data:</w:t>
      </w:r>
      <w:r>
        <w:t xml:space="preserve"> </w:t>
      </w:r>
      <w:r>
        <w:t xml:space="preserve">Industry-standard emission factors were utilized for electricity grids, transportation modes, and end-of-life scenarios where primary data was not available. These factors are derived from databases such as Ecoinvent and DEFRA, adjusted for geographic relevance (e.g., China grid mix, European grid mix).</w:t>
      </w:r>
    </w:p>
    <w:bookmarkEnd w:id="25"/>
    <w:bookmarkStart w:id="26" w:name="emission-calculation"/>
    <w:p>
      <w:pPr>
        <w:pStyle w:val="Heading3"/>
      </w:pPr>
      <w:r>
        <w:t xml:space="preserve">1.4. Emission Calculation</w:t>
      </w:r>
    </w:p>
    <w:p>
      <w:pPr>
        <w:pStyle w:val="FirstParagraph"/>
      </w:pPr>
      <w:r>
        <w:t xml:space="preserve">Emissions were calculated using the formula: Activity Data × Emission Factor = CO2e. All greenhouse gases (CO2, CH4, N2O, HFCs, PFCs, SF6, NF3) are converted to CO2 equivalents (CO2e) using their respective Global Warming Potentials (GWP) over a 100-year horizon, consistent with GHG Protocol guidance.</w:t>
      </w:r>
    </w:p>
    <w:p>
      <w:pPr>
        <w:numPr>
          <w:ilvl w:val="0"/>
          <w:numId w:val="1005"/>
        </w:numPr>
        <w:pStyle w:val="Compact"/>
      </w:pPr>
      <w:r>
        <w:rPr>
          <w:bCs/>
          <w:b/>
        </w:rPr>
        <w:t xml:space="preserve">GHG Protocol Adherence:</w:t>
      </w:r>
      <w:r>
        <w:t xml:space="preserve"> </w:t>
      </w:r>
      <w:r>
        <w:t xml:space="preserve">Emissions are categorized into Scope 1, Scope 2, and Scope 3.</w:t>
      </w:r>
    </w:p>
    <w:p>
      <w:pPr>
        <w:numPr>
          <w:ilvl w:val="0"/>
          <w:numId w:val="1005"/>
        </w:numPr>
        <w:pStyle w:val="Compact"/>
      </w:pPr>
      <w:r>
        <w:rPr>
          <w:bCs/>
          <w:b/>
        </w:rPr>
        <w:t xml:space="preserve">2026 LSR Update:</w:t>
      </w:r>
      <w:r>
        <w:t xml:space="preserve"> </w:t>
      </w:r>
      <w:r>
        <w:t xml:space="preserve">The GHG Protocol\'s Land Sector and Removals (LSR) Standard, effective January 1, 2027, provides specific accounting requirements and guidance for land emissions, CO₂ removals, and other key metrics for companies with significant land sector activities. While the product \'eynzjopxsh\' is not explicitly tied to land-use change or biogenic emissions in the provided parameters, adherence to the LSR Standard would be critical for relevant value chain segments where land-based activities occur (e.g., raw material extraction for agricultural products, bioenergy, or forestry if applicable).</w:t>
      </w:r>
    </w:p>
    <w:p>
      <w:pPr>
        <w:numPr>
          <w:ilvl w:val="0"/>
          <w:numId w:val="1005"/>
        </w:numPr>
        <w:pStyle w:val="Compact"/>
      </w:pPr>
      <w:r>
        <w:rPr>
          <w:bCs/>
          <w:b/>
        </w:rPr>
        <w:t xml:space="preserve">Scope 3 Compliance:</w:t>
      </w:r>
      <w:r>
        <w:t xml:space="preserve"> </w:t>
      </w:r>
      <w:r>
        <w:t xml:space="preserve">At least 95% coverage for Scope 3 reporting is ensured, aligning with proposed 2026 requirements to enhance completeness and transparency.</w:t>
      </w:r>
    </w:p>
    <w:p>
      <w:r>
        <w:pict>
          <v:rect style="width:0;height:1.5pt" o:hralign="center" o:hrstd="t" o:hr="t"/>
        </w:pict>
      </w:r>
    </w:p>
    <w:bookmarkEnd w:id="26"/>
    <w:bookmarkEnd w:id="27"/>
    <w:bookmarkStart w:id="33" w:name="X8c4736c3e15d4b60af6dc51fba535f337a5fa91"/>
    <w:p>
      <w:pPr>
        <w:pStyle w:val="Heading2"/>
      </w:pPr>
      <w:r>
        <w:t xml:space="preserve">2. Detailed Product Carbon Footprint Analysis for eynzjopxsh</w:t>
      </w:r>
    </w:p>
    <w:bookmarkStart w:id="28" w:name="X30345da18eafa3e628be5e8b68631518bd282e5"/>
    <w:p>
      <w:pPr>
        <w:pStyle w:val="Heading3"/>
      </w:pPr>
      <w:r>
        <w:t xml:space="preserve">2.1. Bill of Materials (BOM) Analysis - Material Acquisition (Scope 3 Upstream)</w:t>
      </w:r>
    </w:p>
    <w:p>
      <w:pPr>
        <w:pStyle w:val="FirstParagraph"/>
      </w:pPr>
      <w:r>
        <w:t xml:space="preserve">The material impact is derived directly from the provided Detailed Bill of Materials (BOM). The \'Total Carbon\' values from the BOM are used as the pre-calculated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gridSpan w:val="7"/>
          </w:tcPr>
          <w:p>
            <w:pPr>
              <w:pStyle w:val="Compact"/>
              <w:jc w:val="right"/>
            </w:pPr>
            <w:r>
              <w:t xml:space="preserve">Total Material Acquisition Emissions:</w:t>
            </w:r>
          </w:p>
        </w:tc>
        <w:tc>
          <w:tcPr/>
          <w:p>
            <w:pPr>
              <w:pStyle w:val="Compact"/>
              <w:jc w:val="left"/>
            </w:pPr>
            <w:r>
              <w:t xml:space="preserve">9.40 kg CO2e</w:t>
            </w:r>
          </w:p>
        </w:tc>
      </w:tr>
    </w:tbl>
    <w:p>
      <w:pPr>
        <w:pStyle w:val="BodyText"/>
      </w:pPr>
      <w:r>
        <w:t xml:space="preserve">Total Product Weight (from BOM materials): 0.75 kg</w:t>
      </w:r>
    </w:p>
    <w:bookmarkEnd w:id="28"/>
    <w:bookmarkStart w:id="29" w:name="manufacturing-phase-scope-2"/>
    <w:p>
      <w:pPr>
        <w:pStyle w:val="Heading3"/>
      </w:pPr>
      <w:r>
        <w:t xml:space="preserve">2.2. Manufacturing Phase (Scope 2)</w:t>
      </w:r>
    </w:p>
    <w:p>
      <w:pPr>
        <w:pStyle w:val="FirstParagraph"/>
      </w:pPr>
      <w:r>
        <w:t xml:space="preserve">The manufacturing process in China involves energy consumption, for which a portion is sourced from renewable energy.</w:t>
      </w:r>
    </w:p>
    <w:p>
      <w:pPr>
        <w:numPr>
          <w:ilvl w:val="0"/>
          <w:numId w:val="1006"/>
        </w:numPr>
        <w:pStyle w:val="Compact"/>
      </w:pPr>
      <w:r>
        <w:t xml:space="preserve">Energy Intensity: 25.00 kWh/unit</w:t>
      </w:r>
    </w:p>
    <w:p>
      <w:pPr>
        <w:numPr>
          <w:ilvl w:val="0"/>
          <w:numId w:val="1006"/>
        </w:numPr>
        <w:pStyle w:val="Compact"/>
      </w:pPr>
      <w:r>
        <w:t xml:space="preserve">Renewable Energy Usage: 60%</w:t>
      </w:r>
    </w:p>
    <w:p>
      <w:pPr>
        <w:numPr>
          <w:ilvl w:val="0"/>
          <w:numId w:val="1006"/>
        </w:numPr>
        <w:pStyle w:val="Compact"/>
      </w:pPr>
      <w:r>
        <w:t xml:space="preserve">Non-Renewable Electricity Consumed: 10.00 kWh/unit</w:t>
      </w:r>
    </w:p>
    <w:p>
      <w:pPr>
        <w:numPr>
          <w:ilvl w:val="0"/>
          <w:numId w:val="1006"/>
        </w:numPr>
        <w:pStyle w:val="Compact"/>
      </w:pPr>
      <w:r>
        <w:t xml:space="preserve">China Grid Emission Factor: 0.60 kg CO2e/kWh (industry average)</w:t>
      </w:r>
    </w:p>
    <w:p>
      <w:pPr>
        <w:pStyle w:val="FirstParagraph"/>
      </w:pPr>
      <w:r>
        <w:rPr>
          <w:bCs/>
          <w:b/>
        </w:rPr>
        <w:t xml:space="preserve">Calculated Manufacturing Emissions:</w:t>
      </w:r>
    </w:p>
    <w:p>
      <w:pPr>
        <w:numPr>
          <w:ilvl w:val="0"/>
          <w:numId w:val="1007"/>
        </w:numPr>
        <w:pStyle w:val="Compact"/>
      </w:pPr>
      <w:r>
        <w:t xml:space="preserve">Emissions from Non-Renewable Electricity: 6.00 kg CO2e/unit</w:t>
      </w:r>
    </w:p>
    <w:p>
      <w:pPr>
        <w:numPr>
          <w:ilvl w:val="0"/>
          <w:numId w:val="1007"/>
        </w:numPr>
        <w:pStyle w:val="Compact"/>
      </w:pPr>
      <w:r>
        <w:t xml:space="preserve">Emissions from Renewable Electricity: 0.00 kg CO2e/unit</w:t>
      </w:r>
    </w:p>
    <w:p>
      <w:pPr>
        <w:numPr>
          <w:ilvl w:val="0"/>
          <w:numId w:val="1007"/>
        </w:numPr>
        <w:pStyle w:val="Compact"/>
      </w:pPr>
      <w:r>
        <w:rPr>
          <w:bCs/>
          <w:b/>
        </w:rPr>
        <w:t xml:space="preserve">Total Manufacturing Emissions (Scope 2): 6.00 kg CO2e/unit</w:t>
      </w:r>
    </w:p>
    <w:bookmarkEnd w:id="29"/>
    <w:bookmarkStart w:id="30" w:name="X45e388afdf7a8647ab796ac0e85ba0258580a0e"/>
    <w:p>
      <w:pPr>
        <w:pStyle w:val="Heading3"/>
      </w:pPr>
      <w:r>
        <w:t xml:space="preserve">2.3. Transport &amp; Distribution (Scope 3 Upstream &amp; Downstream)</w:t>
      </w:r>
    </w:p>
    <w:p>
      <w:pPr>
        <w:pStyle w:val="FirstParagraph"/>
      </w:pPr>
      <w:r>
        <w:t xml:space="preserve">This section details the emissions from transporting raw materials to the factory and the finished product to the end customer.</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Product Weight (kg)</w:t>
            </w:r>
          </w:p>
        </w:tc>
        <w:tc>
          <w:tcPr/>
          <w:p>
            <w:pPr>
              <w:pStyle w:val="Compact"/>
              <w:jc w:val="left"/>
            </w:pPr>
            <w:r>
              <w:t xml:space="preserve">Emission Factor (kgCO2e/tkm)</w:t>
            </w:r>
          </w:p>
        </w:tc>
        <w:tc>
          <w:tcPr/>
          <w:p>
            <w:pPr>
              <w:pStyle w:val="Compact"/>
              <w:jc w:val="left"/>
            </w:pPr>
            <w:r>
              <w:t xml:space="preserve">Total Emissions (kgCO2e)</w:t>
            </w:r>
          </w:p>
        </w:tc>
      </w:tr>
      <w:tr>
        <w:tc>
          <w:tcPr/>
          <w:p>
            <w:pPr>
              <w:pStyle w:val="Compact"/>
              <w:jc w:val="left"/>
            </w:pPr>
            <w:r>
              <w:t xml:space="preserve">Upstream (Materials to Factory)</w:t>
            </w:r>
          </w:p>
        </w:tc>
        <w:tc>
          <w:tcPr/>
          <w:p>
            <w:pPr>
              <w:pStyle w:val="Compact"/>
              <w:jc w:val="left"/>
            </w:pPr>
            <w:r>
              <w:t xml:space="preserve">Ocean Freight (Container Ship)</w:t>
            </w:r>
          </w:p>
        </w:tc>
        <w:tc>
          <w:tcPr/>
          <w:p>
            <w:pPr>
              <w:pStyle w:val="Compact"/>
              <w:jc w:val="left"/>
            </w:pPr>
            <w:r>
              <w:t xml:space="preserve">8000 km</w:t>
            </w:r>
          </w:p>
        </w:tc>
        <w:tc>
          <w:tcPr/>
          <w:p>
            <w:pPr>
              <w:pStyle w:val="Compact"/>
              <w:jc w:val="left"/>
            </w:pPr>
            <w:r>
              <w:t xml:space="preserve">0.75</w:t>
            </w:r>
          </w:p>
        </w:tc>
        <w:tc>
          <w:tcPr/>
          <w:p>
            <w:pPr>
              <w:pStyle w:val="Compact"/>
              <w:jc w:val="left"/>
            </w:pPr>
            <w:r>
              <w:t xml:space="preserve">0.0160</w:t>
            </w:r>
          </w:p>
        </w:tc>
        <w:tc>
          <w:tcPr/>
          <w:p>
            <w:pPr>
              <w:pStyle w:val="Compact"/>
              <w:jc w:val="left"/>
            </w:pPr>
            <w:r>
              <w:t xml:space="preserve">0.09</w:t>
            </w:r>
          </w:p>
        </w:tc>
      </w:tr>
      <w:tr>
        <w:tc>
          <w:tcPr/>
          <w:p>
            <w:pPr>
              <w:pStyle w:val="Compact"/>
              <w:jc w:val="left"/>
            </w:pPr>
            <w:r>
              <w:t xml:space="preserve">Downstream (Factory to Market)</w:t>
            </w:r>
          </w:p>
        </w:tc>
        <w:tc>
          <w:tcPr/>
          <w:p>
            <w:pPr>
              <w:pStyle w:val="Compact"/>
              <w:jc w:val="left"/>
            </w:pPr>
            <w:r>
              <w:t xml:space="preserve">Ocean Freight (Container Ship)</w:t>
            </w:r>
          </w:p>
        </w:tc>
        <w:tc>
          <w:tcPr/>
          <w:p>
            <w:pPr>
              <w:pStyle w:val="Compact"/>
              <w:jc w:val="left"/>
            </w:pPr>
            <w:r>
              <w:t xml:space="preserve">8000 km</w:t>
            </w:r>
          </w:p>
        </w:tc>
        <w:tc>
          <w:tcPr/>
          <w:p>
            <w:pPr>
              <w:pStyle w:val="Compact"/>
              <w:jc w:val="left"/>
            </w:pPr>
            <w:r>
              <w:t xml:space="preserve">0.75</w:t>
            </w:r>
          </w:p>
        </w:tc>
        <w:tc>
          <w:tcPr/>
          <w:p>
            <w:pPr>
              <w:pStyle w:val="Compact"/>
              <w:jc w:val="left"/>
            </w:pPr>
            <w:r>
              <w:t xml:space="preserve">0.0160</w:t>
            </w:r>
          </w:p>
        </w:tc>
        <w:tc>
          <w:tcPr/>
          <w:p>
            <w:pPr>
              <w:pStyle w:val="Compact"/>
              <w:jc w:val="left"/>
            </w:pPr>
            <w:r>
              <w:t xml:space="preserve">0.09</w:t>
            </w:r>
          </w:p>
        </w:tc>
      </w:tr>
      <w:tr>
        <w:tc>
          <w:tcPr/>
          <w:p>
            <w:pPr>
              <w:pStyle w:val="Compact"/>
              <w:jc w:val="left"/>
            </w:pPr>
            <w:r>
              <w:t xml:space="preserve">Last-Mile Delivery</w:t>
            </w:r>
          </w:p>
        </w:tc>
        <w:tc>
          <w:tcPr/>
          <w:p>
            <w:pPr>
              <w:pStyle w:val="Compact"/>
              <w:jc w:val="left"/>
            </w:pPr>
            <w:r>
              <w:t xml:space="preserve">Road Freight (Light Commercial Vehicle)</w:t>
            </w:r>
          </w:p>
        </w:tc>
        <w:tc>
          <w:tcPr/>
          <w:p>
            <w:pPr>
              <w:pStyle w:val="Compact"/>
              <w:jc w:val="left"/>
            </w:pPr>
            <w:r>
              <w:t xml:space="preserve">100 km</w:t>
            </w:r>
          </w:p>
        </w:tc>
        <w:tc>
          <w:tcPr/>
          <w:p>
            <w:pPr>
              <w:pStyle w:val="Compact"/>
              <w:jc w:val="left"/>
            </w:pPr>
            <w:r>
              <w:t xml:space="preserve">0.75</w:t>
            </w:r>
          </w:p>
        </w:tc>
        <w:tc>
          <w:tcPr/>
          <w:p>
            <w:pPr>
              <w:pStyle w:val="Compact"/>
              <w:jc w:val="left"/>
            </w:pPr>
            <w:r>
              <w:t xml:space="preserve">0.1500</w:t>
            </w:r>
          </w:p>
        </w:tc>
        <w:tc>
          <w:tcPr/>
          <w:p>
            <w:pPr>
              <w:pStyle w:val="Compact"/>
              <w:jc w:val="left"/>
            </w:pPr>
            <w:r>
              <w:t xml:space="preserve">0.01</w:t>
            </w:r>
          </w:p>
        </w:tc>
      </w:tr>
      <w:tr>
        <w:tc>
          <w:tcPr>
            <w:gridSpan w:val="5"/>
          </w:tcPr>
          <w:p>
            <w:pPr>
              <w:pStyle w:val="Compact"/>
              <w:jc w:val="right"/>
            </w:pPr>
            <w:r>
              <w:t xml:space="preserve">Total Transport &amp; Distribution Emissions:</w:t>
            </w:r>
          </w:p>
        </w:tc>
        <w:tc>
          <w:tcPr/>
          <w:p>
            <w:pPr>
              <w:pStyle w:val="Compact"/>
              <w:jc w:val="left"/>
            </w:pPr>
            <w:r>
              <w:t xml:space="preserve">0.19 kg CO2e</w:t>
            </w:r>
          </w:p>
        </w:tc>
      </w:tr>
    </w:tbl>
    <w:bookmarkEnd w:id="30"/>
    <w:bookmarkStart w:id="31" w:name="use-phase-scope-3-downstream"/>
    <w:p>
      <w:pPr>
        <w:pStyle w:val="Heading3"/>
      </w:pPr>
      <w:r>
        <w:t xml:space="preserve">2.4. Use Phase (Scope 3 Downstream)</w:t>
      </w:r>
    </w:p>
    <w:p>
      <w:pPr>
        <w:pStyle w:val="FirstParagraph"/>
      </w:pPr>
      <w:r>
        <w:t xml:space="preserve">The energy consumed during the product\'s operational lifespan significantly contributes to its overall footprint.</w:t>
      </w:r>
    </w:p>
    <w:p>
      <w:pPr>
        <w:numPr>
          <w:ilvl w:val="0"/>
          <w:numId w:val="1008"/>
        </w:numPr>
        <w:pStyle w:val="Compact"/>
      </w:pPr>
      <w:r>
        <w:t xml:space="preserve">Product Lifespan: 7 years</w:t>
      </w:r>
    </w:p>
    <w:p>
      <w:pPr>
        <w:numPr>
          <w:ilvl w:val="0"/>
          <w:numId w:val="1008"/>
        </w:numPr>
        <w:pStyle w:val="Compact"/>
      </w:pPr>
      <w:r>
        <w:t xml:space="preserve">Energy Consumption in Use: 10.00 kWh/year</w:t>
      </w:r>
    </w:p>
    <w:p>
      <w:pPr>
        <w:numPr>
          <w:ilvl w:val="0"/>
          <w:numId w:val="1008"/>
        </w:numPr>
        <w:pStyle w:val="Compact"/>
      </w:pPr>
      <w:r>
        <w:t xml:space="preserve">Total Energy Consumption over Lifespan: 70.00 kWh</w:t>
      </w:r>
    </w:p>
    <w:p>
      <w:pPr>
        <w:numPr>
          <w:ilvl w:val="0"/>
          <w:numId w:val="1008"/>
        </w:numPr>
        <w:pStyle w:val="Compact"/>
      </w:pPr>
      <w:r>
        <w:t xml:space="preserve">European Grid Emission Factor (for end-user): 0.25 kg CO2e/kWh (industry average)</w:t>
      </w:r>
    </w:p>
    <w:p>
      <w:pPr>
        <w:pStyle w:val="FirstParagraph"/>
      </w:pPr>
      <w:r>
        <w:rPr>
          <w:bCs/>
          <w:b/>
        </w:rPr>
        <w:t xml:space="preserve">Calculated Use Phase Emissions: 17.50 kg CO2e/unit</w:t>
      </w:r>
    </w:p>
    <w:bookmarkEnd w:id="31"/>
    <w:bookmarkStart w:id="32" w:name="end-of-life-eol-phase-scope-3-downstream"/>
    <w:p>
      <w:pPr>
        <w:pStyle w:val="Heading3"/>
      </w:pPr>
      <w:r>
        <w:t xml:space="preserve">2.5. End-of-Life (EoL) Phase (Scope 3 Downstream)</w:t>
      </w:r>
    </w:p>
    <w:p>
      <w:pPr>
        <w:pStyle w:val="FirstParagraph"/>
      </w:pPr>
      <w:r>
        <w:t xml:space="preserve">The end-of-life scenario considers both disposal to landfill for non-recyclable parts and recycling benefits.</w:t>
      </w:r>
    </w:p>
    <w:p>
      <w:pPr>
        <w:numPr>
          <w:ilvl w:val="0"/>
          <w:numId w:val="1009"/>
        </w:numPr>
        <w:pStyle w:val="Compact"/>
      </w:pPr>
      <w:r>
        <w:t xml:space="preserve">Total Product Weight: 0.75 kg</w:t>
      </w:r>
    </w:p>
    <w:p>
      <w:pPr>
        <w:numPr>
          <w:ilvl w:val="0"/>
          <w:numId w:val="1009"/>
        </w:numPr>
        <w:pStyle w:val="Compact"/>
      </w:pPr>
      <w:r>
        <w:t xml:space="preserve">Recyclability Percentage: 85%</w:t>
      </w:r>
    </w:p>
    <w:p>
      <w:pPr>
        <w:numPr>
          <w:ilvl w:val="0"/>
          <w:numId w:val="1009"/>
        </w:numPr>
        <w:pStyle w:val="Compact"/>
      </w:pPr>
      <w:r>
        <w:t xml:space="preserve">Non-Recyclable Weight: 0.11 kg</w:t>
      </w:r>
    </w:p>
    <w:p>
      <w:pPr>
        <w:numPr>
          <w:ilvl w:val="0"/>
          <w:numId w:val="1009"/>
        </w:numPr>
        <w:pStyle w:val="Compact"/>
      </w:pPr>
      <w:r>
        <w:t xml:space="preserve">Recyclable Weight: 0.64 kg</w:t>
      </w:r>
    </w:p>
    <w:p>
      <w:pPr>
        <w:numPr>
          <w:ilvl w:val="0"/>
          <w:numId w:val="1009"/>
        </w:numPr>
        <w:pStyle w:val="Compact"/>
      </w:pPr>
      <w:r>
        <w:t xml:space="preserve">Circular/Take-back Programs: Yes, fully implemented manufacturer take-back and refurbishment program for major components.</w:t>
      </w:r>
    </w:p>
    <w:p>
      <w:pPr>
        <w:numPr>
          <w:ilvl w:val="0"/>
          <w:numId w:val="1009"/>
        </w:numPr>
        <w:pStyle w:val="Compact"/>
      </w:pPr>
      <w:r>
        <w:t xml:space="preserve">Landfill Emission Factor: 0.10 kg CO2e/kg (simplified average)</w:t>
      </w:r>
    </w:p>
    <w:p>
      <w:pPr>
        <w:numPr>
          <w:ilvl w:val="0"/>
          <w:numId w:val="1009"/>
        </w:numPr>
        <w:pStyle w:val="Compact"/>
      </w:pPr>
      <w:r>
        <w:t xml:space="preserve">Recycling Credit Factor: -1.50 kg CO2e/kg (simplified avoided emissions)</w:t>
      </w:r>
    </w:p>
    <w:p>
      <w:pPr>
        <w:pStyle w:val="FirstParagraph"/>
      </w:pPr>
      <w:r>
        <w:rPr>
          <w:bCs/>
          <w:b/>
        </w:rPr>
        <w:t xml:space="preserve">Calculated End-of-Life Emissions:</w:t>
      </w:r>
    </w:p>
    <w:p>
      <w:pPr>
        <w:numPr>
          <w:ilvl w:val="0"/>
          <w:numId w:val="1010"/>
        </w:numPr>
        <w:pStyle w:val="Compact"/>
      </w:pPr>
      <w:r>
        <w:t xml:space="preserve">Emissions from Landfilling: 0.08 kg CO2e/unit</w:t>
      </w:r>
    </w:p>
    <w:p>
      <w:pPr>
        <w:numPr>
          <w:ilvl w:val="0"/>
          <w:numId w:val="1010"/>
        </w:numPr>
        <w:pStyle w:val="Compact"/>
      </w:pPr>
      <w:r>
        <w:t xml:space="preserve">Recycling Avoided Emissions (Credit): -0.96 kg CO2e/unit</w:t>
      </w:r>
    </w:p>
    <w:p>
      <w:pPr>
        <w:numPr>
          <w:ilvl w:val="0"/>
          <w:numId w:val="1010"/>
        </w:numPr>
        <w:pStyle w:val="Compact"/>
      </w:pPr>
      <w:r>
        <w:rPr>
          <w:bCs/>
          <w:b/>
        </w:rPr>
        <w:t xml:space="preserve">Total End-of-Life Emissions: -0.88 kg CO2e/unit</w:t>
      </w:r>
    </w:p>
    <w:p>
      <w:r>
        <w:pict>
          <v:rect style="width:0;height:1.5pt" o:hralign="center" o:hrstd="t" o:hr="t"/>
        </w:pict>
      </w:r>
    </w:p>
    <w:bookmarkEnd w:id="32"/>
    <w:bookmarkEnd w:id="33"/>
    <w:bookmarkStart w:id="36" w:name="overall-product-carbon-footprint-summary"/>
    <w:p>
      <w:pPr>
        <w:pStyle w:val="Heading2"/>
      </w:pPr>
      <w:r>
        <w:t xml:space="preserve">3. Overall Product Carbon Footprint Summary</w:t>
      </w:r>
    </w:p>
    <w:bookmarkStart w:id="34" w:name="total-pcf-by-lifecycle-stage"/>
    <w:p>
      <w:pPr>
        <w:pStyle w:val="Heading3"/>
      </w:pPr>
      <w:r>
        <w:t xml:space="preserve">3.1. Total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 Acquisition</w:t>
            </w:r>
          </w:p>
        </w:tc>
        <w:tc>
          <w:tcPr/>
          <w:p>
            <w:pPr>
              <w:pStyle w:val="Compact"/>
              <w:jc w:val="left"/>
            </w:pPr>
            <w:r>
              <w:t xml:space="preserve">9.40</w:t>
            </w:r>
          </w:p>
        </w:tc>
        <w:tc>
          <w:tcPr/>
          <w:p>
            <w:pPr>
              <w:pStyle w:val="Compact"/>
              <w:jc w:val="left"/>
            </w:pPr>
            <w:r>
              <w:t xml:space="preserve">51.4%</w:t>
            </w:r>
          </w:p>
        </w:tc>
      </w:tr>
      <w:tr>
        <w:tc>
          <w:tcPr/>
          <w:p>
            <w:pPr>
              <w:pStyle w:val="Compact"/>
              <w:jc w:val="left"/>
            </w:pPr>
            <w:r>
              <w:t xml:space="preserve">Manufacturing</w:t>
            </w:r>
          </w:p>
        </w:tc>
        <w:tc>
          <w:tcPr/>
          <w:p>
            <w:pPr>
              <w:pStyle w:val="Compact"/>
              <w:jc w:val="left"/>
            </w:pPr>
            <w:r>
              <w:t xml:space="preserve">6.00</w:t>
            </w:r>
          </w:p>
        </w:tc>
        <w:tc>
          <w:tcPr/>
          <w:p>
            <w:pPr>
              <w:pStyle w:val="Compact"/>
              <w:jc w:val="left"/>
            </w:pPr>
            <w:r>
              <w:t xml:space="preserve">32.8%</w:t>
            </w:r>
          </w:p>
        </w:tc>
      </w:tr>
      <w:tr>
        <w:tc>
          <w:tcPr/>
          <w:p>
            <w:pPr>
              <w:pStyle w:val="Compact"/>
              <w:jc w:val="left"/>
            </w:pPr>
            <w:r>
              <w:t xml:space="preserve">Transport &amp; Distribution</w:t>
            </w:r>
          </w:p>
        </w:tc>
        <w:tc>
          <w:tcPr/>
          <w:p>
            <w:pPr>
              <w:pStyle w:val="Compact"/>
              <w:jc w:val="left"/>
            </w:pPr>
            <w:r>
              <w:t xml:space="preserve">0.19</w:t>
            </w:r>
          </w:p>
        </w:tc>
        <w:tc>
          <w:tcPr/>
          <w:p>
            <w:pPr>
              <w:pStyle w:val="Compact"/>
              <w:jc w:val="left"/>
            </w:pPr>
            <w:r>
              <w:t xml:space="preserve">1.0%</w:t>
            </w:r>
          </w:p>
        </w:tc>
      </w:tr>
      <w:tr>
        <w:tc>
          <w:tcPr/>
          <w:p>
            <w:pPr>
              <w:pStyle w:val="Compact"/>
              <w:jc w:val="left"/>
            </w:pPr>
            <w:r>
              <w:t xml:space="preserve">Use Phase</w:t>
            </w:r>
          </w:p>
        </w:tc>
        <w:tc>
          <w:tcPr/>
          <w:p>
            <w:pPr>
              <w:pStyle w:val="Compact"/>
              <w:jc w:val="left"/>
            </w:pPr>
            <w:r>
              <w:t xml:space="preserve">17.50</w:t>
            </w:r>
          </w:p>
        </w:tc>
        <w:tc>
          <w:tcPr/>
          <w:p>
            <w:pPr>
              <w:pStyle w:val="Compact"/>
              <w:jc w:val="left"/>
            </w:pPr>
            <w:r>
              <w:t xml:space="preserve">95.7%</w:t>
            </w:r>
          </w:p>
        </w:tc>
      </w:tr>
      <w:tr>
        <w:tc>
          <w:tcPr/>
          <w:p>
            <w:pPr>
              <w:pStyle w:val="Compact"/>
              <w:jc w:val="left"/>
            </w:pPr>
            <w:r>
              <w:t xml:space="preserve">End-of-Life</w:t>
            </w:r>
          </w:p>
        </w:tc>
        <w:tc>
          <w:tcPr/>
          <w:p>
            <w:pPr>
              <w:pStyle w:val="Compact"/>
              <w:jc w:val="left"/>
            </w:pPr>
            <w:r>
              <w:t xml:space="preserve">-0.88</w:t>
            </w:r>
          </w:p>
        </w:tc>
        <w:tc>
          <w:tcPr/>
          <w:p>
            <w:pPr>
              <w:pStyle w:val="Compact"/>
              <w:jc w:val="left"/>
            </w:pPr>
            <w:r>
              <w:t xml:space="preserve">-4.8%</w:t>
            </w:r>
          </w:p>
        </w:tc>
      </w:tr>
      <w:tr>
        <w:tc>
          <w:tcPr/>
          <w:p>
            <w:pPr>
              <w:pStyle w:val="Compact"/>
              <w:jc w:val="left"/>
            </w:pPr>
            <w:r>
              <w:rPr>
                <w:bCs/>
                <w:b/>
              </w:rPr>
              <w:t xml:space="preserve">Total Product Carbon Footprint</w:t>
            </w:r>
          </w:p>
        </w:tc>
        <w:tc>
          <w:tcPr/>
          <w:p>
            <w:pPr>
              <w:pStyle w:val="Compact"/>
              <w:jc w:val="left"/>
            </w:pPr>
            <w:r>
              <w:rPr>
                <w:bCs/>
                <w:b/>
              </w:rPr>
              <w:t xml:space="preserve">32.21</w:t>
            </w:r>
          </w:p>
        </w:tc>
        <w:tc>
          <w:tcPr/>
          <w:p>
            <w:pPr>
              <w:pStyle w:val="Compact"/>
              <w:jc w:val="left"/>
            </w:pPr>
            <w:r>
              <w:rPr>
                <w:bCs/>
                <w:b/>
              </w:rPr>
              <w:t xml:space="preserve">100.0%</w:t>
            </w:r>
          </w:p>
        </w:tc>
      </w:tr>
    </w:tbl>
    <w:bookmarkEnd w:id="34"/>
    <w:bookmarkStart w:id="35" w:name="total-pcf-by-ghg-protocol-scope"/>
    <w:p>
      <w:pPr>
        <w:pStyle w:val="Heading3"/>
      </w:pPr>
      <w:r>
        <w:t xml:space="preserve">3.2. Total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6.00</w:t>
            </w:r>
          </w:p>
        </w:tc>
        <w:tc>
          <w:tcPr/>
          <w:p>
            <w:pPr>
              <w:pStyle w:val="Compact"/>
              <w:jc w:val="left"/>
            </w:pPr>
            <w:r>
              <w:t xml:space="preserve">18.6%</w:t>
            </w:r>
          </w:p>
        </w:tc>
      </w:tr>
      <w:tr>
        <w:tc>
          <w:tcPr/>
          <w:p>
            <w:pPr>
              <w:pStyle w:val="Compact"/>
              <w:jc w:val="left"/>
            </w:pPr>
            <w:r>
              <w:t xml:space="preserve">Scope 3 (Value Chain)</w:t>
            </w:r>
          </w:p>
        </w:tc>
        <w:tc>
          <w:tcPr/>
          <w:p>
            <w:pPr>
              <w:pStyle w:val="Compact"/>
              <w:jc w:val="left"/>
            </w:pPr>
            <w:r>
              <w:t xml:space="preserve">26.21</w:t>
            </w:r>
          </w:p>
        </w:tc>
        <w:tc>
          <w:tcPr/>
          <w:p>
            <w:pPr>
              <w:pStyle w:val="Compact"/>
              <w:jc w:val="left"/>
            </w:pPr>
            <w:r>
              <w:t xml:space="preserve">81.4%</w:t>
            </w:r>
          </w:p>
        </w:tc>
      </w:tr>
      <w:tr>
        <w:tc>
          <w:tcPr/>
          <w:p>
            <w:pPr>
              <w:pStyle w:val="Compact"/>
              <w:jc w:val="left"/>
            </w:pPr>
            <w:r>
              <w:rPr>
                <w:bCs/>
                <w:b/>
              </w:rPr>
              <w:t xml:space="preserve">Total GHG Emissions</w:t>
            </w:r>
          </w:p>
        </w:tc>
        <w:tc>
          <w:tcPr/>
          <w:p>
            <w:pPr>
              <w:pStyle w:val="Compact"/>
              <w:jc w:val="left"/>
            </w:pPr>
            <w:r>
              <w:rPr>
                <w:bCs/>
                <w:b/>
              </w:rPr>
              <w:t xml:space="preserve">32.21</w:t>
            </w:r>
          </w:p>
        </w:tc>
        <w:tc>
          <w:tcPr/>
          <w:p>
            <w:pPr>
              <w:pStyle w:val="Compact"/>
              <w:jc w:val="left"/>
            </w:pPr>
            <w:r>
              <w:rPr>
                <w:bCs/>
                <w:b/>
              </w:rPr>
              <w:t xml:space="preserve">100.0%</w:t>
            </w:r>
          </w:p>
        </w:tc>
      </w:tr>
    </w:tbl>
    <w:p>
      <w:pPr>
        <w:pStyle w:val="BodyText"/>
      </w:pPr>
      <w:r>
        <w:rPr>
          <w:bCs/>
          <w:b/>
        </w:rPr>
        <w:t xml:space="preserve">Scope 3 Coverage:</w:t>
      </w:r>
      <w:r>
        <w:t xml:space="preserve"> </w:t>
      </w:r>
      <w:r>
        <w:t xml:space="preserve">The Scope 3 emissions account for 81.4% of the total carbon footprint, which does not meet the 2026 requirement of at least 95% coverage for comprehensive value chain reporting. Further investigation into additional Scope 3 categories or more granular data collection is recommended to enhance coverage and achieve compliance.</w:t>
      </w:r>
    </w:p>
    <w:p>
      <w:r>
        <w:pict>
          <v:rect style="width:0;height:1.5pt" o:hralign="center" o:hrstd="t" o:hr="t"/>
        </w:pict>
      </w:r>
    </w:p>
    <w:bookmarkEnd w:id="35"/>
    <w:bookmarkEnd w:id="36"/>
    <w:bookmarkStart w:id="40" w:name="review-reporting"/>
    <w:p>
      <w:pPr>
        <w:pStyle w:val="Heading2"/>
      </w:pPr>
      <w:r>
        <w:t xml:space="preserve">4. Review &amp; Reporting</w:t>
      </w:r>
    </w:p>
    <w:bookmarkStart w:id="37" w:name="emission-hotspots"/>
    <w:p>
      <w:pPr>
        <w:pStyle w:val="Heading3"/>
      </w:pPr>
      <w:r>
        <w:t xml:space="preserve">4.1. Emission Hotspots</w:t>
      </w:r>
    </w:p>
    <w:p>
      <w:pPr>
        <w:pStyle w:val="FirstParagraph"/>
      </w:pPr>
      <w:r>
        <w:t xml:space="preserve">Based on the analysis, the primary emission hotspots for \'eynzjopxsh\' are:</w:t>
      </w:r>
    </w:p>
    <w:p>
      <w:pPr>
        <w:numPr>
          <w:ilvl w:val="0"/>
          <w:numId w:val="1011"/>
        </w:numPr>
        <w:pStyle w:val="Compact"/>
      </w:pPr>
      <w:r>
        <w:rPr>
          <w:bCs/>
          <w:b/>
        </w:rPr>
        <w:t xml:space="preserve">Use Phase:</w:t>
      </w:r>
      <w:r>
        <w:t xml:space="preserve"> </w:t>
      </w:r>
      <w:r>
        <w:t xml:space="preserve">Contributing a significant portion (95.7%) due to energy consumption over the product\'s lifespan. This is the most critical hotspot.</w:t>
      </w:r>
    </w:p>
    <w:p>
      <w:pPr>
        <w:numPr>
          <w:ilvl w:val="0"/>
          <w:numId w:val="1011"/>
        </w:numPr>
        <w:pStyle w:val="Compact"/>
      </w:pPr>
      <w:r>
        <w:rPr>
          <w:bCs/>
          <w:b/>
        </w:rPr>
        <w:t xml:space="preserve">Material Acquisition:</w:t>
      </w:r>
      <w:r>
        <w:t xml:space="preserve"> </w:t>
      </w:r>
      <w:r>
        <w:t xml:space="preserve">Representing 51.4% of the footprint, the production of raw materials, particularly the Aluminum Casing and Printed Circuit Board, is a substantial upstream impact.</w:t>
      </w:r>
    </w:p>
    <w:p>
      <w:pPr>
        <w:numPr>
          <w:ilvl w:val="0"/>
          <w:numId w:val="1011"/>
        </w:numPr>
        <w:pStyle w:val="Compact"/>
      </w:pPr>
      <w:r>
        <w:rPr>
          <w:bCs/>
          <w:b/>
        </w:rPr>
        <w:t xml:space="preserve">Manufacturing:</w:t>
      </w:r>
      <w:r>
        <w:t xml:space="preserve"> </w:t>
      </w:r>
      <w:r>
        <w:t xml:space="preserve">Account for 32.8% of the footprint. While partially mitigated by renewable energy, the remaining non-renewable electricity usage still contributes.</w:t>
      </w:r>
    </w:p>
    <w:bookmarkEnd w:id="37"/>
    <w:bookmarkStart w:id="38" w:name="reliability-and-limitations"/>
    <w:p>
      <w:pPr>
        <w:pStyle w:val="Heading3"/>
      </w:pPr>
      <w:r>
        <w:t xml:space="preserve">4.2. Reliability and Limitations</w:t>
      </w:r>
    </w:p>
    <w:p>
      <w:pPr>
        <w:pStyle w:val="FirstParagraph"/>
      </w:pPr>
      <w:r>
        <w:t xml:space="preserve">The calculations rely on a combination of primary data (BOM \'Total Carbon\', energy intensity, renewable usage) and secondary, industry-average emission factors. While efforts were made to use geographically relevant and up-to-date factors, inherent uncertainties exist in all PCF studies. For instance, the use of average emission factors for European grid electricity and simplified recycling credits introduces some level of generalization. Future improvements could involve collecting more supplier-specific primary data for upstream processes and more precise end-user electricity mix data, particularly for the use phase.</w:t>
      </w:r>
    </w:p>
    <w:bookmarkEnd w:id="38"/>
    <w:bookmarkStart w:id="39" w:name="recommendations-for-reduction"/>
    <w:p>
      <w:pPr>
        <w:pStyle w:val="Heading3"/>
      </w:pPr>
      <w:r>
        <w:t xml:space="preserve">4.3. Recommendations for Reduction</w:t>
      </w:r>
    </w:p>
    <w:p>
      <w:pPr>
        <w:numPr>
          <w:ilvl w:val="0"/>
          <w:numId w:val="1012"/>
        </w:numPr>
        <w:pStyle w:val="Compact"/>
      </w:pPr>
      <w:r>
        <w:rPr>
          <w:bCs/>
          <w:b/>
        </w:rPr>
        <w:t xml:space="preserve">Optimize Use Phase:</w:t>
      </w:r>
      <w:r>
        <w:t xml:space="preserve"> </w:t>
      </w:r>
      <w:r>
        <w:t xml:space="preserve">Investigate opportunities to significantly reduce product energy consumption during its lifespan through innovative design improvements, promoting energy-efficient usage patterns, or enhancing product durability to extend lifespan without increasing annual energy draw. This is the most impactful area for reduction.</w:t>
      </w:r>
    </w:p>
    <w:p>
      <w:pPr>
        <w:numPr>
          <w:ilvl w:val="0"/>
          <w:numId w:val="1012"/>
        </w:numPr>
        <w:pStyle w:val="Compact"/>
      </w:pPr>
      <w:r>
        <w:rPr>
          <w:bCs/>
          <w:b/>
        </w:rPr>
        <w:t xml:space="preserve">Sustainable Material Sourcing:</w:t>
      </w:r>
      <w:r>
        <w:t xml:space="preserve"> </w:t>
      </w:r>
      <w:r>
        <w:t xml:space="preserve">Explore alternative materials with lower inherent carbon footprints or increase the proportion of recycled content in the Aluminum Casing and other components, collaborating closely with suppliers to obtain primary data for these improvements.</w:t>
      </w:r>
    </w:p>
    <w:p>
      <w:pPr>
        <w:numPr>
          <w:ilvl w:val="0"/>
          <w:numId w:val="1012"/>
        </w:numPr>
        <w:pStyle w:val="Compact"/>
      </w:pPr>
      <w:r>
        <w:rPr>
          <w:bCs/>
          <w:b/>
        </w:rPr>
        <w:t xml:space="preserve">Increase Renewable Energy in Manufacturing:</w:t>
      </w:r>
      <w:r>
        <w:t xml:space="preserve"> </w:t>
      </w:r>
      <w:r>
        <w:t xml:space="preserve">Further increase the adoption of certified renewable energy sources in manufacturing operations to reduce Scope 2 emissions.</w:t>
      </w:r>
    </w:p>
    <w:p>
      <w:pPr>
        <w:numPr>
          <w:ilvl w:val="0"/>
          <w:numId w:val="1012"/>
        </w:numPr>
        <w:pStyle w:val="Compact"/>
      </w:pPr>
      <w:r>
        <w:rPr>
          <w:bCs/>
          <w:b/>
        </w:rPr>
        <w:t xml:space="preserve">Enhance Circularity:</w:t>
      </w:r>
      <w:r>
        <w:t xml:space="preserve"> </w:t>
      </w:r>
      <w:r>
        <w:t xml:space="preserve">Leverage the existing circular/take-back programs to maximize material recovery and reuse, potentially extending product lifespan or closing material loops more effectively, and explore opportunities to quantify these benefits more precisely.</w:t>
      </w:r>
    </w:p>
    <w:p>
      <w:pPr>
        <w:numPr>
          <w:ilvl w:val="0"/>
          <w:numId w:val="1012"/>
        </w:numPr>
        <w:pStyle w:val="Compact"/>
      </w:pPr>
      <w:r>
        <w:rPr>
          <w:bCs/>
          <w:b/>
        </w:rPr>
        <w:t xml:space="preserve">Logistics Optimization:</w:t>
      </w:r>
      <w:r>
        <w:t xml:space="preserve"> </w:t>
      </w:r>
      <w:r>
        <w:t xml:space="preserve">Continuously optimize transport routes and modes to reduce overall distances and emissions, especially for the significant ocean freight components, by exploring more efficient carriers or modal shifts where feasible.</w:t>
      </w:r>
    </w:p>
    <w:p>
      <w:r>
        <w:pict>
          <v:rect style="width:0;height:1.5pt" o:hralign="center" o:hrstd="t" o:hr="t"/>
        </w:pict>
      </w:r>
    </w:p>
    <w:bookmarkEnd w:id="39"/>
    <w:bookmarkEnd w:id="40"/>
    <w:p>
      <w:pPr>
        <w:pStyle w:val="FirstParagraph"/>
      </w:pPr>
      <w:r>
        <w:t xml:space="preserve">Confidential - Internal Use Only | pmfqnfvxgy | PCF Report for eynzjopxsh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eynzjopxsh</dc:title>
  <dc:creator/>
  <dc:description>High-detail Product Carbon Footprint (PCF) analysis report for eynzjopxsh by pmfqnfvxgy, adhering to GHG Protocol standards and 2026 updates.</dc:description>
  <dc:language>en</dc:language>
  <cp:keywords/>
  <dcterms:created xsi:type="dcterms:W3CDTF">2026-06-13T01:38:41Z</dcterms:created>
  <dcterms:modified xsi:type="dcterms:W3CDTF">2026-06-13T01:38:41Z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