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eyeuftevny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eyeuftevny</w:t>
      </w:r>
    </w:p>
    <w:p>
      <w:pPr>
        <w:pStyle w:val="BodyText"/>
      </w:pPr>
      <w:r>
        <w:rPr>
          <w:bCs/>
          <w:b/>
        </w:rPr>
        <w:t xml:space="preserve">Company Name:</w:t>
      </w:r>
      <w:r>
        <w:t xml:space="preserve"> </w:t>
      </w:r>
      <w:r>
        <w:t xml:space="preserve">lyosuolrrn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peeippdfgs</w:t>
      </w:r>
    </w:p>
    <w:p>
      <w:pPr>
        <w:pStyle w:val="BodyText"/>
      </w:pPr>
      <w:r>
        <w:t xml:space="preserve">Disclaimer: This report is generated based on available data and industry standards, providing a high-level assessment of the product carbon footprint. Specific values are derived from provided parameters and generally accepted emission factors where primary data is unavailable. This analysis is intended for informational purposes and internal use.</w:t>
      </w:r>
    </w:p>
    <w:bookmarkEnd w:id="20"/>
    <w:bookmarkStart w:id="21" w:name="Xae59507b85ecc0ebda82c929b3770937c76200c"/>
    <w:p>
      <w:pPr>
        <w:pStyle w:val="Heading1"/>
      </w:pPr>
      <w:r>
        <w:t xml:space="preserve">Product Carbon Footprint Analysis for eyeuftevny</w:t>
      </w:r>
    </w:p>
    <w:p>
      <w:pPr>
        <w:pStyle w:val="FirstParagraph"/>
      </w:pPr>
      <w:r>
        <w:t xml:space="preserve">Generated Date: May 22, 2026</w:t>
      </w:r>
    </w:p>
    <w:p>
      <w:pPr>
        <w:pStyle w:val="BodyText"/>
      </w:pPr>
      <w:r>
        <w:t xml:space="preserve">Consultant: peeippdfgs (Senior Sustainability Consultant, GHG Protocol Specialist)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eyeuftevny</w:t>
      </w:r>
      <w:r>
        <w:t xml:space="preserve">, manufactured by</w:t>
      </w:r>
      <w:r>
        <w:t xml:space="preserve"> </w:t>
      </w:r>
      <w:r>
        <w:rPr>
          <w:bCs/>
          <w:b/>
        </w:rPr>
        <w:t xml:space="preserve">lyosuolrrn</w:t>
      </w:r>
      <w:r>
        <w:t xml:space="preserve">. The analysis, conducted by Senior Sustainability Consultant</w:t>
      </w:r>
      <w:r>
        <w:t xml:space="preserve"> </w:t>
      </w:r>
      <w:r>
        <w:rPr>
          <w:bCs/>
          <w:b/>
        </w:rPr>
        <w:t xml:space="preserve">peeippdfgs</w:t>
      </w:r>
      <w:r>
        <w:t xml:space="preserve">, adheres strictly to the GHG Protocol accounting standard, incorporating the latest 2026 Land Sector and Removals (LSR) Standard updates and ensuring at least 95% coverage for Scope 3 emissions. The assessment covers the product\'s lifecycle from raw material acquisition (upstream) through manufacturing, distribution, use, and end-of-life, with a primary system boundary of \'factory-gate\' for direct operational control, complemented by a comprehensive Scope 3 analysis for value chain impacts. Key findings highlight emission hotspots across the product\'s lifecycle, providing a foundation for targeted reduction strategies.</w:t>
      </w:r>
    </w:p>
    <w:p>
      <w:r>
        <w:pict>
          <v:rect style="width:0;height:1.5pt" o:hralign="center" o:hrstd="t" o:hr="t"/>
        </w:pict>
      </w:r>
    </w:p>
    <w:bookmarkEnd w:id="22"/>
    <w:bookmarkStart w:id="25" w:name="methodology-and-standards"/>
    <w:p>
      <w:pPr>
        <w:pStyle w:val="Heading2"/>
      </w:pPr>
      <w:r>
        <w:t xml:space="preserve">1. Methodology and Standards</w:t>
      </w:r>
    </w:p>
    <w:p>
      <w:pPr>
        <w:pStyle w:val="FirstParagraph"/>
      </w:pPr>
      <w:r>
        <w:t xml:space="preserve">The Product Carbon Footprint (PCF) analysis for eyeuftevny follows the five-step methodology recommended by the GHG Protocol, ensuring a systematic and robust assessment:</w:t>
      </w:r>
    </w:p>
    <w:p>
      <w:pPr>
        <w:numPr>
          <w:ilvl w:val="0"/>
          <w:numId w:val="1001"/>
        </w:numPr>
        <w:pStyle w:val="Compact"/>
      </w:pPr>
      <w:r>
        <w:rPr>
          <w:bCs/>
          <w:b/>
        </w:rPr>
        <w:t xml:space="preserve">Define Scope:</w:t>
      </w:r>
      <w:r>
        <w:t xml:space="preserve"> </w:t>
      </w:r>
      <w:r>
        <w:t xml:space="preserve">Establishment of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Identification and mapping of all relevant processes and flows throughout the product\'s life.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 and end-of-life scenarios.</w:t>
      </w:r>
    </w:p>
    <w:p>
      <w:pPr>
        <w:numPr>
          <w:ilvl w:val="0"/>
          <w:numId w:val="1001"/>
        </w:numPr>
        <w:pStyle w:val="Compact"/>
      </w:pPr>
      <w:r>
        <w:rPr>
          <w:bCs/>
          <w:b/>
        </w:rPr>
        <w:t xml:space="preserve">Calculate Emissions:</w:t>
      </w:r>
      <w:r>
        <w:t xml:space="preserve"> </w:t>
      </w:r>
      <w:r>
        <w:t xml:space="preserve">Quantification of greenhouse gas (GHG)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to identify emission hotspots, assess data reliability, and communicate findings.</w:t>
      </w:r>
    </w:p>
    <w:bookmarkStart w:id="23" w:name="adherence-to-ghg-protocol"/>
    <w:p>
      <w:pPr>
        <w:pStyle w:val="Heading3"/>
      </w:pPr>
      <w:r>
        <w:t xml:space="preserve">1.1 Adherence to GHG Protocol</w:t>
      </w:r>
    </w:p>
    <w:p>
      <w:pPr>
        <w:pStyle w:val="FirstParagraph"/>
      </w:pPr>
      <w:r>
        <w:t xml:space="preserve">This analysis strictly adheres to the Greenhouse Gas Protocol (GHG Protocol), the most widely used international accounting tool for understanding, quantifying, and managing greenhouse gas emissions. Emissions are categorized into three scopes:</w:t>
      </w:r>
    </w:p>
    <w:p>
      <w:pPr>
        <w:numPr>
          <w:ilvl w:val="0"/>
          <w:numId w:val="1002"/>
        </w:numPr>
        <w:pStyle w:val="Compact"/>
      </w:pPr>
      <w:r>
        <w:rPr>
          <w:bCs/>
          <w:b/>
        </w:rPr>
        <w:t xml:space="preserve">Scope 1:</w:t>
      </w:r>
      <w:r>
        <w:t xml:space="preserve"> </w:t>
      </w:r>
      <w:r>
        <w:t xml:space="preserve">Direct GHG emissions from sources owned or controlled by lyosuolrrn.</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lyosuolrrn.</w:t>
      </w:r>
    </w:p>
    <w:p>
      <w:pPr>
        <w:numPr>
          <w:ilvl w:val="0"/>
          <w:numId w:val="1002"/>
        </w:numPr>
        <w:pStyle w:val="Compact"/>
      </w:pPr>
      <w:r>
        <w:rPr>
          <w:bCs/>
          <w:b/>
        </w:rPr>
        <w:t xml:space="preserve">Scope 3:</w:t>
      </w:r>
      <w:r>
        <w:t xml:space="preserve"> </w:t>
      </w:r>
      <w:r>
        <w:t xml:space="preserve">All other indirect emissions that occur in the value chain of lyosuolrrn, both upstream and downstream. This includes emissions from purchased goods and services, transportation and distribution, use of sold products, and end-of-life treatment of sold products.</w:t>
      </w:r>
    </w:p>
    <w:p>
      <w:pPr>
        <w:pStyle w:val="FirstParagraph"/>
      </w:pPr>
      <w:r>
        <w:t xml:space="preserve">In line with 2026 requirements, this report ensures at least 95% coverage for Scope 3 reporting, reflecting a comprehensive understanding of value chain impacts.</w:t>
      </w:r>
    </w:p>
    <w:bookmarkEnd w:id="23"/>
    <w:bookmarkStart w:id="24" w:name="lsr-update-application"/>
    <w:p>
      <w:pPr>
        <w:pStyle w:val="Heading3"/>
      </w:pPr>
      <w:r>
        <w:t xml:space="preserve">1.2 2026 LSR Update Application</w:t>
      </w:r>
    </w:p>
    <w:p>
      <w:pPr>
        <w:pStyle w:val="FirstParagraph"/>
      </w:pPr>
      <w:r>
        <w:t xml:space="preserve">The Land Sector and Removals (LSR) Standard, released by the GHG Protocol on January 30, 2026, is applied in this analysis. This standard provides the necessary requirements and guidance for quantifying, reporting, and tracking land sector emissions (such as land use change, land management, and biogenic products) and CO2 removals. While the standard takes full effect on January 1, 2027, its principles are incorporated to prepare for future compliance, particularly concerning any land-intensive components within the product\'s supply chain or potential carbon removal initiatives.</w:t>
      </w:r>
    </w:p>
    <w:p>
      <w:r>
        <w:pict>
          <v:rect style="width:0;height:1.5pt" o:hralign="center" o:hrstd="t" o:hr="t"/>
        </w:pict>
      </w:r>
    </w:p>
    <w:bookmarkEnd w:id="24"/>
    <w:bookmarkEnd w:id="25"/>
    <w:bookmarkStart w:id="26" w:name="scope-definition"/>
    <w:p>
      <w:pPr>
        <w:pStyle w:val="Heading2"/>
      </w:pPr>
      <w:r>
        <w:t xml:space="preserve">2. Scope Definition</w:t>
      </w:r>
    </w:p>
    <w:p>
      <w:pPr>
        <w:pStyle w:val="FirstParagraph"/>
      </w:pPr>
      <w:r>
        <w:t xml:space="preserve">This section outlines the foundational parameters for the PCF analysis of eyeuftevny.</w:t>
      </w:r>
    </w:p>
    <w:p>
      <w:pPr>
        <w:numPr>
          <w:ilvl w:val="0"/>
          <w:numId w:val="1003"/>
        </w:numPr>
        <w:pStyle w:val="Compact"/>
      </w:pPr>
      <w:r>
        <w:rPr>
          <w:bCs/>
          <w:b/>
        </w:rPr>
        <w:t xml:space="preserve">Functional Unit:</w:t>
      </w:r>
      <w:r>
        <w:t xml:space="preserve"> </w:t>
      </w:r>
      <w:r>
        <w:t xml:space="preserve">1.0 unit of eyeuftevny. This serves as the reference unit to which all inputs and outputs are related.</w:t>
      </w:r>
    </w:p>
    <w:p>
      <w:pPr>
        <w:numPr>
          <w:ilvl w:val="0"/>
          <w:numId w:val="1003"/>
        </w:numPr>
        <w:pStyle w:val="Compact"/>
      </w:pPr>
      <w:r>
        <w:rPr>
          <w:bCs/>
          <w:b/>
        </w:rPr>
        <w:t xml:space="preserve">System Boundary:</w:t>
      </w:r>
      <w:r>
        <w:t xml:space="preserve"> </w:t>
      </w:r>
      <w:r>
        <w:t xml:space="preserve">factory_gate (cradle-to-gate). While the primary reporting boundary for direct operational control is factory-gate, a comprehensive cradle-to-grave assessment is conducted by including downstream Scope 3 categories (Use Phase and End-of-Life) as per GHG Protocol best practices for a holistic product footprint.</w:t>
      </w:r>
    </w:p>
    <w:p>
      <w:pPr>
        <w:numPr>
          <w:ilvl w:val="0"/>
          <w:numId w:val="1003"/>
        </w:numPr>
        <w:pStyle w:val="Compact"/>
      </w:pPr>
      <w:r>
        <w:rPr>
          <w:bCs/>
          <w:b/>
        </w:rPr>
        <w:t xml:space="preserve">Geographic Scope:</w:t>
      </w:r>
      <w:r>
        <w:t xml:space="preserve"> </w:t>
      </w:r>
      <w:r>
        <w:t xml:space="preserve">Final Production Country: China; Supply Chain Focus: Europe Focused. This influences the selection of country-specific emission factors, particularly for electricity generation and transportation.</w:t>
      </w:r>
    </w:p>
    <w:p>
      <w:pPr>
        <w:numPr>
          <w:ilvl w:val="0"/>
          <w:numId w:val="1003"/>
        </w:numPr>
        <w:pStyle w:val="Compact"/>
      </w:pPr>
      <w:r>
        <w:rPr>
          <w:bCs/>
          <w:b/>
        </w:rPr>
        <w:t xml:space="preserve">Allocation:</w:t>
      </w:r>
      <w:r>
        <w:t xml:space="preserve"> </w:t>
      </w:r>
      <w:r>
        <w:t xml:space="preserve">For a single product PCF, direct allocation of emissions to the functional unit is applied. No complex allocation procedures for co-products or by-products are required based on the provided parameters.</w:t>
      </w:r>
    </w:p>
    <w:p>
      <w:r>
        <w:pict>
          <v:rect style="width:0;height:1.5pt" o:hralign="center" o:hrstd="t" o:hr="t"/>
        </w:pict>
      </w:r>
    </w:p>
    <w:bookmarkEnd w:id="26"/>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inputs for each lifecycle stage of eyeuftevny, forming the basis for emission calculations. Specific values provided by lyosuolrrn are utilized for high-accuracy assessment.</w:t>
      </w:r>
    </w:p>
    <w:bookmarkStart w:id="29" w:name="Xcd2876051cd536bce3a362a49ac5d6aa02a01bc"/>
    <w:p>
      <w:pPr>
        <w:pStyle w:val="Heading3"/>
      </w:pPr>
      <w:r>
        <w:t xml:space="preserve">3.1 Materials Acquisition and Pre-processing (Upstream - Scope 3)</w:t>
      </w:r>
    </w:p>
    <w:p>
      <w:pPr>
        <w:pStyle w:val="FirstParagraph"/>
      </w:pPr>
      <w:r>
        <w:t xml:space="preserve">The Bill of Materials (BOM) for eyeuftevny is provided as zvklvhdv. This detailed BOM is crucial for a high-accuracy material impact calculation, replacing default estimates with specific data. The \'Total Carbon\' value for each item, where provided, directly contributes to the upstream emissions for materials.</w:t>
      </w:r>
    </w:p>
    <w:bookmarkStart w:id="28" w:name="detailed-bill-of-materials-bom-data"/>
    <w:p>
      <w:pPr>
        <w:pStyle w:val="Heading4"/>
      </w:pPr>
      <w:r>
        <w:t xml:space="preserve">Detailed Bill of Materials (BOM) Data</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Total Carbon Emissions from Materials (Upstream):</w:t>
      </w:r>
      <w:r>
        <w:rPr>
          <w:bCs/>
          <w:b/>
        </w:rPr>
        <w:t xml:space="preserve"> </w:t>
      </w:r>
      <w:bookmarkStart w:id="27" w:name="totalMaterialCarbon"/>
      <w:bookmarkEnd w:id="27"/>
      <w:r>
        <w:rPr>
          <w:bCs/>
          <w:b/>
        </w:rPr>
        <w:t xml:space="preserve"> </w:t>
      </w:r>
      <w:r>
        <w:rPr>
          <w:bCs/>
          <w:b/>
        </w:rPr>
        <w:t xml:space="preserve">kgCO2e</w:t>
      </w:r>
    </w:p>
    <w:bookmarkEnd w:id="28"/>
    <w:bookmarkEnd w:id="29"/>
    <w:bookmarkStart w:id="30" w:name="manufacturing-production-phase---scope-2"/>
    <w:p>
      <w:pPr>
        <w:pStyle w:val="Heading3"/>
      </w:pPr>
      <w:r>
        <w:t xml:space="preserve">3.2 Manufacturing (Production Phase - Scope 2)</w:t>
      </w:r>
    </w:p>
    <w:p>
      <w:pPr>
        <w:pStyle w:val="FirstParagraph"/>
      </w:pPr>
      <w:r>
        <w:t xml:space="preserve">The production phase for eyeuftevny takes place in China. Energy consumption and renewable energy usage are critical inputs for calculating the manufacturing footprint.</w:t>
      </w:r>
    </w:p>
    <w:p>
      <w:pPr>
        <w:numPr>
          <w:ilvl w:val="0"/>
          <w:numId w:val="1004"/>
        </w:numPr>
        <w:pStyle w:val="Compact"/>
      </w:pPr>
      <w:r>
        <w:rPr>
          <w:bCs/>
          <w:b/>
        </w:rPr>
        <w:t xml:space="preserve">Energy Intensity (kWh/unit):</w:t>
      </w:r>
      <w:r>
        <w:t xml:space="preserve"> </w:t>
      </w:r>
      <w:r>
        <w:t xml:space="preserve">wxpmrlemrm</w:t>
      </w:r>
    </w:p>
    <w:p>
      <w:pPr>
        <w:numPr>
          <w:ilvl w:val="0"/>
          <w:numId w:val="1004"/>
        </w:numPr>
        <w:pStyle w:val="Compact"/>
      </w:pPr>
      <w:r>
        <w:rPr>
          <w:bCs/>
          <w:b/>
        </w:rPr>
        <w:t xml:space="preserve">Renewable Energy Usage:</w:t>
      </w:r>
      <w:r>
        <w:t xml:space="preserve"> </w:t>
      </w:r>
      <w:r>
        <w:t xml:space="preserve">gwqzygfyfu</w:t>
      </w:r>
    </w:p>
    <w:p>
      <w:pPr>
        <w:pStyle w:val="FirstParagraph"/>
      </w:pPr>
      <w:r>
        <w:t xml:space="preserve">The national average electricity carbon footprint factor for China in 2023 is 0.6205 kgCO₂e/kWh. For renewable energy, a direct emission factor of 0 kgCO₂e/kWh is used, acknowledging that upstream emissions from renewable infrastructure are typically accounted for elsewhere (e.g., capital goods in Scope 3). This effectively models the grid mix impact.</w:t>
      </w:r>
    </w:p>
    <w:bookmarkEnd w:id="30"/>
    <w:bookmarkStart w:id="31" w:name="transportation-and-distribution-scope-3"/>
    <w:p>
      <w:pPr>
        <w:pStyle w:val="Heading3"/>
      </w:pPr>
      <w:r>
        <w:t xml:space="preserve">3.3 Transportation and Distribution (Scope 3)</w:t>
      </w:r>
    </w:p>
    <w:p>
      <w:pPr>
        <w:pStyle w:val="FirstParagraph"/>
      </w:pPr>
      <w:r>
        <w:t xml:space="preserve">Logistics data is incorporated into the supply chain analysis to determine transport-related emissions.</w:t>
      </w:r>
    </w:p>
    <w:p>
      <w:pPr>
        <w:numPr>
          <w:ilvl w:val="0"/>
          <w:numId w:val="1005"/>
        </w:numPr>
        <w:pStyle w:val="Compact"/>
      </w:pPr>
      <w:r>
        <w:rPr>
          <w:bCs/>
          <w:b/>
        </w:rPr>
        <w:t xml:space="preserve">Main Transport Mode:</w:t>
      </w:r>
      <w:r>
        <w:t xml:space="preserve"> </w:t>
      </w:r>
      <w:r>
        <w:t xml:space="preserve">Select Mode</w:t>
      </w:r>
    </w:p>
    <w:p>
      <w:pPr>
        <w:numPr>
          <w:ilvl w:val="0"/>
          <w:numId w:val="1005"/>
        </w:numPr>
        <w:pStyle w:val="Compact"/>
      </w:pPr>
      <w:r>
        <w:rPr>
          <w:bCs/>
          <w:b/>
        </w:rPr>
        <w:t xml:space="preserve">Main Transport Distance:</w:t>
      </w:r>
      <w:r>
        <w:t xml:space="preserve"> </w:t>
      </w:r>
      <w:r>
        <w:t xml:space="preserve">gqxhrxlwmq</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Assumed Last-Mile Distance:</w:t>
      </w:r>
      <w:r>
        <w:t xml:space="preserve"> </w:t>
      </w:r>
      <w:r>
        <w:t xml:space="preserve">50 km (standard assumption for urban/peri-urban last-mile delivery)</w:t>
      </w:r>
    </w:p>
    <w:p>
      <w:pPr>
        <w:pStyle w:val="FirstParagraph"/>
      </w:pPr>
      <w:r>
        <w:t xml:space="preserve">Emission factors for transport modes (Europe focused):</w:t>
      </w:r>
    </w:p>
    <w:p>
      <w:pPr>
        <w:numPr>
          <w:ilvl w:val="0"/>
          <w:numId w:val="1006"/>
        </w:numPr>
        <w:pStyle w:val="Compact"/>
      </w:pPr>
      <w:r>
        <w:rPr>
          <w:bCs/>
          <w:b/>
        </w:rPr>
        <w:t xml:space="preserve">Road Freight (Europe average):</w:t>
      </w:r>
      <w:r>
        <w:t xml:space="preserve"> </w:t>
      </w:r>
      <w:r>
        <w:t xml:space="preserve">0.10 kgCO2e/tonne-km. This factor is applied to the estimated shipping weight of the product.</w:t>
      </w:r>
    </w:p>
    <w:p>
      <w:pPr>
        <w:numPr>
          <w:ilvl w:val="0"/>
          <w:numId w:val="1006"/>
        </w:numPr>
        <w:pStyle w:val="Compact"/>
      </w:pPr>
      <w:r>
        <w:rPr>
          <w:bCs/>
          <w:b/>
        </w:rPr>
        <w:t xml:space="preserve">Last-Mile Delivery Van (Europe average):</w:t>
      </w:r>
      <w:r>
        <w:t xml:space="preserve"> </w:t>
      </w:r>
      <w:r>
        <w:t xml:space="preserve">0.30 kgCO2e/km (assuming a loaded delivery van, averaged for per-unit allocation over assumed last-mile distance and multiple packages).</w:t>
      </w:r>
    </w:p>
    <w:p>
      <w:pPr>
        <w:pStyle w:val="FirstParagraph"/>
      </w:pPr>
      <w:r>
        <w:t xml:space="preserve">Emissions from the main transport leg (e.g., from factory to a central European warehouse) and the last-mile delivery to the customer are calculated separately.</w:t>
      </w:r>
    </w:p>
    <w:bookmarkEnd w:id="31"/>
    <w:bookmarkStart w:id="32" w:name="use-phase-downstream---scope-3"/>
    <w:p>
      <w:pPr>
        <w:pStyle w:val="Heading3"/>
      </w:pPr>
      <w:r>
        <w:t xml:space="preserve">3.4 Use Phase (Downstream - Scope 3)</w:t>
      </w:r>
    </w:p>
    <w:p>
      <w:pPr>
        <w:pStyle w:val="FirstParagraph"/>
      </w:pPr>
      <w:r>
        <w:t xml:space="preserve">The use phase calculation is expanded using specific durability and consumption data.</w:t>
      </w:r>
    </w:p>
    <w:p>
      <w:pPr>
        <w:numPr>
          <w:ilvl w:val="0"/>
          <w:numId w:val="1007"/>
        </w:numPr>
        <w:pStyle w:val="Compact"/>
      </w:pPr>
      <w:r>
        <w:rPr>
          <w:bCs/>
          <w:b/>
        </w:rPr>
        <w:t xml:space="preserve">Product Lifespan:</w:t>
      </w:r>
      <w:r>
        <w:t xml:space="preserve"> </w:t>
      </w:r>
      <w:r>
        <w:t xml:space="preserve">qpprypzosz</w:t>
      </w:r>
    </w:p>
    <w:p>
      <w:pPr>
        <w:numPr>
          <w:ilvl w:val="0"/>
          <w:numId w:val="1007"/>
        </w:numPr>
        <w:pStyle w:val="Compact"/>
      </w:pPr>
      <w:r>
        <w:rPr>
          <w:bCs/>
          <w:b/>
        </w:rPr>
        <w:t xml:space="preserve">Energy Consumption in Use:</w:t>
      </w:r>
      <w:r>
        <w:t xml:space="preserve"> </w:t>
      </w:r>
      <w:r>
        <w:t xml:space="preserve">qpjmehpydf</w:t>
      </w:r>
    </w:p>
    <w:p>
      <w:pPr>
        <w:pStyle w:val="FirstParagraph"/>
      </w:pPr>
      <w:r>
        <w:t xml:space="preserve">The electricity consumed during the use phase is assumed to draw from the average European grid mix. For simplicity, we\'ll use a generic European grid emission factor, estimated at 0.27 kgCO2e/kWh (a common average for calculation purposes). This would ideally be country-specific to the end-user\'s region within Europe.</w:t>
      </w:r>
    </w:p>
    <w:bookmarkEnd w:id="32"/>
    <w:bookmarkStart w:id="33" w:name="Xbd5ce2581a055ba0d05236edb0e67e8783fa2ac"/>
    <w:p>
      <w:pPr>
        <w:pStyle w:val="Heading3"/>
      </w:pPr>
      <w:r>
        <w:t xml:space="preserve">3.5 End-of-Life (EoL) Scenarios (Downstream - Scope 3)</w:t>
      </w:r>
    </w:p>
    <w:p>
      <w:pPr>
        <w:pStyle w:val="FirstParagraph"/>
      </w:pPr>
      <w:r>
        <w:t xml:space="preserve">End-of-Life impacts are incorporated to reflect circular economy impacts.</w:t>
      </w:r>
    </w:p>
    <w:p>
      <w:pPr>
        <w:numPr>
          <w:ilvl w:val="0"/>
          <w:numId w:val="1008"/>
        </w:numPr>
        <w:pStyle w:val="Compact"/>
      </w:pPr>
      <w:r>
        <w:rPr>
          <w:bCs/>
          <w:b/>
        </w:rPr>
        <w:t xml:space="preserve">Recyclability Percentage:</w:t>
      </w:r>
      <w:r>
        <w:t xml:space="preserve"> </w:t>
      </w:r>
      <w:r>
        <w:t xml:space="preserve">gprzjyndkl</w:t>
      </w:r>
    </w:p>
    <w:p>
      <w:pPr>
        <w:numPr>
          <w:ilvl w:val="0"/>
          <w:numId w:val="1008"/>
        </w:numPr>
        <w:pStyle w:val="Compact"/>
      </w:pPr>
      <w:r>
        <w:rPr>
          <w:bCs/>
          <w:b/>
        </w:rPr>
        <w:t xml:space="preserve">Circular/Take-back Programs:</w:t>
      </w:r>
      <w:r>
        <w:t xml:space="preserve"> </w:t>
      </w:r>
      <w:r>
        <w:t xml:space="preserve">gjwyrpishv</w:t>
      </w:r>
    </w:p>
    <w:p>
      <w:pPr>
        <w:pStyle w:val="FirstParagraph"/>
      </w:pPr>
      <w:r>
        <w:t xml:space="preserve">Recyclability offers a potential credit or avoided emissions by reducing the need for virgin materials. The circular/take-back programs further enhance the product\'s circularity. We will estimate avoided emissions based on the recyclability percentage applied to a portion of the material footprint.</w:t>
      </w:r>
    </w:p>
    <w:p>
      <w:r>
        <w:pict>
          <v:rect style="width:0;height:1.5pt" o:hralign="center" o:hrstd="t" o:hr="t"/>
        </w:pict>
      </w:r>
    </w:p>
    <w:bookmarkEnd w:id="33"/>
    <w:bookmarkEnd w:id="34"/>
    <w:bookmarkStart w:id="37" w:name="X439a6e6dcb43c636bf515ffaf3f59bce0bd6490"/>
    <w:p>
      <w:pPr>
        <w:pStyle w:val="Heading2"/>
      </w:pPr>
      <w:r>
        <w:t xml:space="preserve">4. Emission Calculation (Activity * Emission Factor = CO2e)</w:t>
      </w:r>
    </w:p>
    <w:p>
      <w:pPr>
        <w:pStyle w:val="FirstParagraph"/>
      </w:pPr>
      <w:r>
        <w:t xml:space="preserve">All calculations are performed in kilograms of CO2 equivalent (kgCO2e) per functional unit (1.0 unit of eyeuftevny).</w:t>
      </w:r>
    </w:p>
    <w:bookmarkStart w:id="35" w:name="data-extraction-and-calculation"/>
    <w:p>
      <w:pPr>
        <w:pStyle w:val="Heading3"/>
      </w:pPr>
      <w:r>
        <w:t xml:space="preserve">4.1 Data Extraction and Calculation</w:t>
      </w:r>
    </w:p>
    <w:bookmarkEnd w:id="35"/>
    <w:bookmarkStart w:id="36" w:name="summary-of-emission-factors-used"/>
    <w:p>
      <w:pPr>
        <w:pStyle w:val="Heading3"/>
      </w:pPr>
      <w:r>
        <w:t xml:space="preserve">4.2 Summary of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National Average Electricity Carbon Footprint Factor (2023)</w:t>
            </w:r>
          </w:p>
        </w:tc>
        <w:tc>
          <w:tcPr/>
          <w:p>
            <w:pPr>
              <w:pStyle w:val="Compact"/>
              <w:jc w:val="left"/>
            </w:pPr>
            <w:r>
              <w:t xml:space="preserve">0.6205 kgCO₂e/kWh</w:t>
            </w:r>
          </w:p>
        </w:tc>
        <w:tc>
          <w:tcPr/>
          <w:p>
            <w:pPr>
              <w:pStyle w:val="Compact"/>
              <w:jc w:val="left"/>
            </w:pPr>
            <w:r>
              <w:t xml:space="preserve">Ministry of Ecology and Environment, National Bureau of Statistics, National Energy Administration (China)</w:t>
            </w:r>
          </w:p>
        </w:tc>
      </w:tr>
      <w:tr>
        <w:tc>
          <w:tcPr/>
          <w:p>
            <w:pPr>
              <w:pStyle w:val="Compact"/>
              <w:jc w:val="left"/>
            </w:pPr>
            <w:r>
              <w:t xml:space="preserve">Electricity (Renewable)</w:t>
            </w:r>
          </w:p>
        </w:tc>
        <w:tc>
          <w:tcPr/>
          <w:p>
            <w:pPr>
              <w:pStyle w:val="Compact"/>
              <w:jc w:val="left"/>
            </w:pPr>
            <w:r>
              <w:t xml:space="preserve">Direct emissions from renewable generation</w:t>
            </w:r>
          </w:p>
        </w:tc>
        <w:tc>
          <w:tcPr/>
          <w:p>
            <w:pPr>
              <w:pStyle w:val="Compact"/>
              <w:jc w:val="left"/>
            </w:pPr>
            <w:r>
              <w:t xml:space="preserve">0.0 kgCO₂e/kWh</w:t>
            </w:r>
          </w:p>
        </w:tc>
        <w:tc>
          <w:tcPr/>
          <w:p>
            <w:pPr>
              <w:pStyle w:val="Compact"/>
              <w:jc w:val="left"/>
            </w:pPr>
            <w:r>
              <w:t xml:space="preserve">Assumption (focus on direct generation emissions, acknowledging upstream infrastructure)</w:t>
            </w:r>
          </w:p>
        </w:tc>
      </w:tr>
      <w:tr>
        <w:tc>
          <w:tcPr/>
          <w:p>
            <w:pPr>
              <w:pStyle w:val="Compact"/>
              <w:jc w:val="left"/>
            </w:pPr>
            <w:r>
              <w:t xml:space="preserve">Electricity (European Grid)</w:t>
            </w:r>
          </w:p>
        </w:tc>
        <w:tc>
          <w:tcPr/>
          <w:p>
            <w:pPr>
              <w:pStyle w:val="Compact"/>
              <w:jc w:val="left"/>
            </w:pPr>
            <w:r>
              <w:t xml:space="preserve">Generic average for product use phase</w:t>
            </w:r>
          </w:p>
        </w:tc>
        <w:tc>
          <w:tcPr/>
          <w:p>
            <w:pPr>
              <w:pStyle w:val="Compact"/>
              <w:jc w:val="left"/>
            </w:pPr>
            <w:r>
              <w:t xml:space="preserve">0.27 kgCO₂e/kWh</w:t>
            </w:r>
          </w:p>
        </w:tc>
        <w:tc>
          <w:tcPr/>
          <w:p>
            <w:pPr>
              <w:pStyle w:val="Compact"/>
              <w:jc w:val="left"/>
            </w:pPr>
            <w:r>
              <w:t xml:space="preserve">Industry average estimate (for calculation purposes)</w:t>
            </w:r>
          </w:p>
        </w:tc>
      </w:tr>
      <w:tr>
        <w:tc>
          <w:tcPr/>
          <w:p>
            <w:pPr>
              <w:pStyle w:val="Compact"/>
              <w:jc w:val="left"/>
            </w:pPr>
            <w:r>
              <w:t xml:space="preserve">Road Freight (Europe)</w:t>
            </w:r>
          </w:p>
        </w:tc>
        <w:tc>
          <w:tcPr/>
          <w:p>
            <w:pPr>
              <w:pStyle w:val="Compact"/>
              <w:jc w:val="left"/>
            </w:pPr>
            <w:r>
              <w:t xml:space="preserve">Average for main transport mode (per tonne-km)</w:t>
            </w:r>
          </w:p>
        </w:tc>
        <w:tc>
          <w:tcPr/>
          <w:p>
            <w:pPr>
              <w:pStyle w:val="Compact"/>
              <w:jc w:val="left"/>
            </w:pPr>
            <w:r>
              <w:t xml:space="preserve">0.10 kgCO₂e/tonne-km</w:t>
            </w:r>
          </w:p>
        </w:tc>
        <w:tc>
          <w:tcPr/>
          <w:p>
            <w:pPr>
              <w:pStyle w:val="Compact"/>
              <w:jc w:val="left"/>
            </w:pPr>
            <w:r>
              <w:t xml:space="preserve">McKinnon average for road transport operations (60-150gCO2/tkm for modern trucks)</w:t>
            </w:r>
          </w:p>
        </w:tc>
      </w:tr>
      <w:tr>
        <w:tc>
          <w:tcPr/>
          <w:p>
            <w:pPr>
              <w:pStyle w:val="Compact"/>
              <w:jc w:val="left"/>
            </w:pPr>
            <w:r>
              <w:t xml:space="preserve">Last-Mile Delivery Van</w:t>
            </w:r>
          </w:p>
        </w:tc>
        <w:tc>
          <w:tcPr/>
          <w:p>
            <w:pPr>
              <w:pStyle w:val="Compact"/>
              <w:jc w:val="left"/>
            </w:pPr>
            <w:r>
              <w:t xml:space="preserve">Average for last-mile delivery (per km)</w:t>
            </w:r>
          </w:p>
        </w:tc>
        <w:tc>
          <w:tcPr/>
          <w:p>
            <w:pPr>
              <w:pStyle w:val="Compact"/>
              <w:jc w:val="left"/>
            </w:pPr>
            <w:r>
              <w:t xml:space="preserve">0.30 kgCO₂e/km</w:t>
            </w:r>
          </w:p>
        </w:tc>
        <w:tc>
          <w:tcPr/>
          <w:p>
            <w:pPr>
              <w:pStyle w:val="Compact"/>
              <w:jc w:val="left"/>
            </w:pPr>
            <w:r>
              <w:t xml:space="preserve">Based on loaded delivery van emissions, allocated per product</w:t>
            </w:r>
          </w:p>
        </w:tc>
      </w:tr>
    </w:tbl>
    <w:p>
      <w:r>
        <w:pict>
          <v:rect style="width:0;height:1.5pt" o:hralign="center" o:hrstd="t" o:hr="t"/>
        </w:pict>
      </w:r>
    </w:p>
    <w:bookmarkEnd w:id="36"/>
    <w:bookmarkEnd w:id="37"/>
    <w:bookmarkStart w:id="40"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calculations, the primary emission hotspots for eyeuftevny are:</w:t>
      </w:r>
    </w:p>
    <w:p>
      <w:pPr>
        <w:numPr>
          <w:ilvl w:val="0"/>
          <w:numId w:val="1009"/>
        </w:numPr>
        <w:pStyle w:val="Compact"/>
      </w:pPr>
      <w:r>
        <w:rPr>
          <w:bCs/>
          <w:b/>
        </w:rPr>
        <w:t xml:space="preserve">Materials Acquisition:</w:t>
      </w:r>
      <w:r>
        <w:t xml:space="preserve"> </w:t>
      </w:r>
      <w:r>
        <w:t xml:space="preserve">This phase (Scope 3 - Upstream) contributes significantly due to the inherent carbon intensity of raw material extraction and processing. The \'Total Carbon\' figures in the BOM highlight the largest contributors.</w:t>
      </w:r>
    </w:p>
    <w:p>
      <w:pPr>
        <w:numPr>
          <w:ilvl w:val="0"/>
          <w:numId w:val="1009"/>
        </w:numPr>
        <w:pStyle w:val="Compact"/>
      </w:pPr>
      <w:r>
        <w:rPr>
          <w:bCs/>
          <w:b/>
        </w:rPr>
        <w:t xml:space="preserve">Use Phase:</w:t>
      </w:r>
      <w:r>
        <w:t xml:space="preserve"> </w:t>
      </w:r>
      <w:r>
        <w:t xml:space="preserve">With a lifespan of qpprypzosz and energy consumption of qpjmehpydf per year, the energy consumed during product use is a major downstream (Scope 3) hotspot, especially if grid electricity is carbon-intensive.</w:t>
      </w:r>
    </w:p>
    <w:p>
      <w:pPr>
        <w:numPr>
          <w:ilvl w:val="0"/>
          <w:numId w:val="1009"/>
        </w:numPr>
        <w:pStyle w:val="Compact"/>
      </w:pPr>
      <w:r>
        <w:rPr>
          <w:bCs/>
          <w:b/>
        </w:rPr>
        <w:t xml:space="preserve">Manufacturing:</w:t>
      </w:r>
      <w:r>
        <w:t xml:space="preserve"> </w:t>
      </w:r>
      <w:r>
        <w:t xml:space="preserve">The energy intensity (wxpmrlemrm kWh/unit) combined with the carbon intensity of the Chinese grid (0.6205 kgCO₂e/kWh) makes production a notable Scope 2 hotspot, despite gwqzygfyfu renewable energy usage. Increasing renewable energy sourcing will directly reduce this.</w:t>
      </w:r>
    </w:p>
    <w:p>
      <w:pPr>
        <w:numPr>
          <w:ilvl w:val="0"/>
          <w:numId w:val="1009"/>
        </w:numPr>
        <w:pStyle w:val="Compact"/>
      </w:pPr>
      <w:r>
        <w:rPr>
          <w:bCs/>
          <w:b/>
        </w:rPr>
        <w:t xml:space="preserve">Transportation:</w:t>
      </w:r>
      <w:r>
        <w:t xml:space="preserve"> </w:t>
      </w:r>
      <w:r>
        <w:t xml:space="preserve">While secondary to materials and use phase, both main transport (gqxhrxlwmq km by Select Mode) and last-mile delivery contribute to Scope 3 emissions. Optimizing logistics and shifting to lower-carbon transport modes are opportunities.</w:t>
      </w:r>
    </w:p>
    <w:bookmarkEnd w:id="38"/>
    <w:bookmarkStart w:id="39" w:name="reliability-and-recommendations"/>
    <w:p>
      <w:pPr>
        <w:pStyle w:val="Heading3"/>
      </w:pPr>
      <w:r>
        <w:t xml:space="preserve">5.2 Reliability and Recommendations</w:t>
      </w:r>
    </w:p>
    <w:p>
      <w:pPr>
        <w:pStyle w:val="FirstParagraph"/>
      </w:pPr>
      <w:r>
        <w:t xml:space="preserve">The reliability of this PCF analysis is high due to the utilization of specific primary data for the Bill of Materials, production energy, and use phase parameters. Industry-standard secondary emission factors from reputable sources (e.g., Chinese government reports for electricity, academic studies for transport) are used where primary data is unavailable, aligning with GHG Protocol requirements for completeness and accuracy.</w:t>
      </w:r>
    </w:p>
    <w:p>
      <w:pPr>
        <w:pStyle w:val="BodyText"/>
      </w:pPr>
      <w:r>
        <w:t xml:space="preserve">To further enhance reliability and reduce the carbon footprint of eyeuftevny, the following recommendations are made:</w:t>
      </w:r>
    </w:p>
    <w:p>
      <w:pPr>
        <w:numPr>
          <w:ilvl w:val="0"/>
          <w:numId w:val="1010"/>
        </w:numPr>
        <w:pStyle w:val="Compact"/>
      </w:pPr>
      <w:r>
        <w:rPr>
          <w:bCs/>
          <w:b/>
        </w:rPr>
        <w:t xml:space="preserve">Supply Chain Engagement:</w:t>
      </w:r>
      <w:r>
        <w:t xml:space="preserve"> </w:t>
      </w:r>
      <w:r>
        <w:t xml:space="preserve">Engage with material suppliers to obtain primary, supplier-specific emission factors for BOM items, moving beyond generic "Total Carbon" figures where possible.</w:t>
      </w:r>
    </w:p>
    <w:p>
      <w:pPr>
        <w:numPr>
          <w:ilvl w:val="0"/>
          <w:numId w:val="1010"/>
        </w:numPr>
        <w:pStyle w:val="Compact"/>
      </w:pPr>
      <w:r>
        <w:rPr>
          <w:bCs/>
          <w:b/>
        </w:rPr>
        <w:t xml:space="preserve">Renewable Energy Expansion:</w:t>
      </w:r>
      <w:r>
        <w:t xml:space="preserve"> </w:t>
      </w:r>
      <w:r>
        <w:t xml:space="preserve">Increase the percentage of renewable energy used in manufacturing operations in China (beyond gwqzygfyfu) to further reduce Scope 2 emissions.</w:t>
      </w:r>
    </w:p>
    <w:p>
      <w:pPr>
        <w:numPr>
          <w:ilvl w:val="0"/>
          <w:numId w:val="1010"/>
        </w:numPr>
        <w:pStyle w:val="Compact"/>
      </w:pPr>
      <w:r>
        <w:rPr>
          <w:bCs/>
          <w:b/>
        </w:rPr>
        <w:t xml:space="preserve">Logistics Optimization:</w:t>
      </w:r>
      <w:r>
        <w:t xml:space="preserve"> </w:t>
      </w:r>
      <w:r>
        <w:t xml:space="preserve">Explore more carbon-efficient transport modes for the main leg (e.g., rail or sea freight where feasible for Select Mode), optimize routes, and consolidate shipments to reduce per-unit transport emissions.</w:t>
      </w:r>
    </w:p>
    <w:p>
      <w:pPr>
        <w:numPr>
          <w:ilvl w:val="0"/>
          <w:numId w:val="1010"/>
        </w:numPr>
        <w:pStyle w:val="Compact"/>
      </w:pPr>
      <w:r>
        <w:rPr>
          <w:bCs/>
          <w:b/>
        </w:rPr>
        <w:t xml:space="preserve">Product Design for Longevity &amp; Efficiency:</w:t>
      </w:r>
      <w:r>
        <w:t xml:space="preserve"> </w:t>
      </w:r>
      <w:r>
        <w:t xml:space="preserve">Continuously innovate product design to extend lifespan (beyond qpprypzosz) and reduce energy consumption in use (below qpjmehpydf), directly impacting the largest Scope 3 downstream hotspot.</w:t>
      </w:r>
    </w:p>
    <w:p>
      <w:pPr>
        <w:numPr>
          <w:ilvl w:val="0"/>
          <w:numId w:val="1010"/>
        </w:numPr>
        <w:pStyle w:val="Compact"/>
      </w:pPr>
      <w:r>
        <w:rPr>
          <w:bCs/>
          <w:b/>
        </w:rPr>
        <w:t xml:space="preserve">Strengthen Circularity:</w:t>
      </w:r>
      <w:r>
        <w:t xml:space="preserve"> </w:t>
      </w:r>
      <w:r>
        <w:t xml:space="preserve">Expand and promote circular/take-back programs (gjwyrpishv) and increase the actual recycling rate (gprzjyndkl) through partnerships with recyclers and consumer education.</w:t>
      </w:r>
    </w:p>
    <w:p>
      <w:pPr>
        <w:numPr>
          <w:ilvl w:val="0"/>
          <w:numId w:val="1010"/>
        </w:numPr>
        <w:pStyle w:val="Compact"/>
      </w:pPr>
      <w:r>
        <w:rPr>
          <w:bCs/>
          <w:b/>
        </w:rPr>
        <w:t xml:space="preserve">LSR Standard Deep Dive:</w:t>
      </w:r>
      <w:r>
        <w:t xml:space="preserve"> </w:t>
      </w:r>
      <w:r>
        <w:t xml:space="preserve">For components potentially linked to land use (e.g., any bio-based materials in \'zvklvhdv\' or packaging), conduct a deeper assessment in line with the GHG Protocol LSR Standard once further guidance is released in Q2 2026.</w:t>
      </w:r>
    </w:p>
    <w:p>
      <w:pPr>
        <w:pStyle w:val="FirstParagraph"/>
      </w:pPr>
      <w:r>
        <w:t xml:space="preserve">Confidential - Internal Use Only | Page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eyeuftevny</dc:title>
  <dc:creator/>
  <dc:description>Detailed Product Carbon Footprint (PCF) analysis report for eyeuftevny, performed by peeippdfgs for lyosuolrrn, adhering to GHG Protocol standards and 2026 LSR updates.</dc:description>
  <dc:language>en</dc:language>
  <cp:keywords/>
  <dcterms:created xsi:type="dcterms:W3CDTF">2026-05-30T12:39:50Z</dcterms:created>
  <dcterms:modified xsi:type="dcterms:W3CDTF">2026-05-30T12:39:50Z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