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exxsxfpnwz</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t xml:space="preserve">exxsxfpnwz</w:t>
      </w:r>
    </w:p>
    <w:p>
      <w:pPr>
        <w:pStyle w:val="BodyText"/>
      </w:pPr>
      <w:r>
        <w:t xml:space="preserve">Company Name: itjilxznuh</w:t>
      </w:r>
    </w:p>
    <w:p>
      <w:pPr>
        <w:pStyle w:val="BodyText"/>
      </w:pPr>
      <w:r>
        <w:t xml:space="preserve">Protocol Data (Accounting Standard):</w:t>
      </w:r>
      <w:r>
        <w:t xml:space="preserve"> </w:t>
      </w:r>
      <w:r>
        <w:t xml:space="preserve">GHG Protocol</w:t>
      </w:r>
    </w:p>
    <w:p>
      <w:pPr>
        <w:pStyle w:val="BodyText"/>
      </w:pPr>
      <w:r>
        <w:t xml:space="preserve">Senior Sustainability Consultant: ywikiuidej</w:t>
      </w:r>
    </w:p>
    <w:p>
      <w:pPr>
        <w:pStyle w:val="BodyText"/>
      </w:pPr>
      <w:r>
        <w:t xml:space="preserve">Disclaimer: This report is generated based on available data and industry standards.</w:t>
      </w:r>
      <w:r>
        <w:t xml:space="preserve"> </w:t>
      </w:r>
      <w:r>
        <w:t xml:space="preserve">The accuracy of the results is dependent on the completeness and quality of the input data and chosen emission factors.</w:t>
      </w:r>
      <w:r>
        <w:t xml:space="preserve"> </w:t>
      </w:r>
      <w:r>
        <w:t xml:space="preserve">This analysis provides a high-level estimate and should be used for strategic decision-making and</w:t>
      </w:r>
      <w:r>
        <w:t xml:space="preserve"> </w:t>
      </w:r>
      <w:r>
        <w:t xml:space="preserve">identifying carbon hotspots, not as a definitive legal or certification document without further verification.</w:t>
      </w:r>
    </w:p>
    <w:bookmarkEnd w:id="20"/>
    <w:bookmarkStart w:id="43" w:name="Xd5fab354c7a178ee94979d44880bc2db106ef07"/>
    <w:p>
      <w:pPr>
        <w:pStyle w:val="Heading1"/>
      </w:pPr>
      <w:r>
        <w:t xml:space="preserve">Product Carbon Footprint Analysis for exxsxfpnwz</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product</w:t>
      </w:r>
      <w:r>
        <w:t xml:space="preserve"> </w:t>
      </w:r>
      <w:r>
        <w:t xml:space="preserve">exxsxfpnwz</w:t>
      </w:r>
      <w:r>
        <w:t xml:space="preserve">, manufactured by</w:t>
      </w:r>
      <w:r>
        <w:t xml:space="preserve"> </w:t>
      </w:r>
      <w:r>
        <w:t xml:space="preserve">itjilxznuh</w:t>
      </w:r>
      <w:r>
        <w:t xml:space="preserve">.</w:t>
      </w:r>
      <w:r>
        <w:t xml:space="preserve"> </w:t>
      </w:r>
      <w:r>
        <w:t xml:space="preserve">The analysis adheres to the</w:t>
      </w:r>
      <w:r>
        <w:t xml:space="preserve"> </w:t>
      </w:r>
      <w:r>
        <w:t xml:space="preserve">GHG Protocol</w:t>
      </w:r>
      <w:r>
        <w:t xml:space="preserve"> </w:t>
      </w:r>
      <w:r>
        <w:t xml:space="preserve">standards, incorporating the latest 2026 Land Sector and Removals (LSR) update where applicable, and ensures a robust Scope 3 emissions coverage of at least 95%.</w:t>
      </w:r>
      <w:r>
        <w:t xml:space="preserve"> </w:t>
      </w:r>
      <w:r>
        <w:t xml:space="preserve">The primary objective is to quantify the greenhouse gas (GHG) emissions across the product\'s lifecycle,</w:t>
      </w:r>
      <w:r>
        <w:t xml:space="preserve"> </w:t>
      </w:r>
      <w:r>
        <w:t xml:space="preserve">from raw material extraction to end-of-life, to identify key emission hotspots and inform strategic</w:t>
      </w:r>
      <w:r>
        <w:t xml:space="preserve"> </w:t>
      </w:r>
      <w:r>
        <w:t xml:space="preserve">decarbonization efforts. The functional unit for this study is 1.0 unit of exxsxfpnwz.</w:t>
      </w:r>
    </w:p>
    <w:p>
      <w:r>
        <w:pict>
          <v:rect style="width:0;height:1.5pt" o:hralign="center" o:hrstd="t" o:hr="t"/>
        </w:pict>
      </w:r>
    </w:p>
    <w:bookmarkEnd w:id="21"/>
    <w:bookmarkStart w:id="22" w:name="definition-of-scope"/>
    <w:p>
      <w:pPr>
        <w:pStyle w:val="Heading2"/>
      </w:pPr>
      <w:r>
        <w:t xml:space="preserve">1. Definition of Scope</w:t>
      </w:r>
    </w:p>
    <w:p>
      <w:pPr>
        <w:pStyle w:val="FirstParagraph"/>
      </w:pPr>
      <w:r>
        <w:t xml:space="preserve">As</w:t>
      </w:r>
      <w:r>
        <w:t xml:space="preserve"> </w:t>
      </w:r>
      <w:r>
        <w:t xml:space="preserve">ywikiuidej</w:t>
      </w:r>
      <w:r>
        <w:t xml:space="preserve">, Senior Sustainability Consultant, I define the scope of this PCF analysis as follows:</w:t>
      </w:r>
    </w:p>
    <w:p>
      <w:pPr>
        <w:numPr>
          <w:ilvl w:val="0"/>
          <w:numId w:val="1001"/>
        </w:numPr>
        <w:pStyle w:val="Compact"/>
      </w:pPr>
      <w:r>
        <w:rPr>
          <w:bCs/>
          <w:b/>
        </w:rPr>
        <w:t xml:space="preserve">Functional Unit:</w:t>
      </w:r>
      <w:r>
        <w:t xml:space="preserve"> </w:t>
      </w:r>
      <w:r>
        <w:t xml:space="preserve">1.0 unit of product</w:t>
      </w:r>
      <w:r>
        <w:t xml:space="preserve"> </w:t>
      </w:r>
      <w:r>
        <w:t xml:space="preserve">exxsxfpnwz</w:t>
      </w:r>
      <w:r>
        <w:t xml:space="preserve">.</w:t>
      </w:r>
    </w:p>
    <w:p>
      <w:pPr>
        <w:numPr>
          <w:ilvl w:val="0"/>
          <w:numId w:val="1001"/>
        </w:numPr>
        <w:pStyle w:val="Compact"/>
      </w:pPr>
      <w:r>
        <w:rPr>
          <w:bCs/>
          <w:b/>
        </w:rPr>
        <w:t xml:space="preserve">System Boundary:</w:t>
      </w:r>
      <w:r>
        <w:t xml:space="preserve"> </w:t>
      </w:r>
      <w:r>
        <w:t xml:space="preserve">Factory-gate. This analysis includes all upstream emissions (raw materials, manufacturing, and inbound logistics to the factory gate), as well as emissions from the use phase and end-of-life treatment of the product.</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 (primarily for raw material sourcing and distribution routes)</w:t>
      </w:r>
    </w:p>
    <w:p>
      <w:pPr>
        <w:numPr>
          <w:ilvl w:val="0"/>
          <w:numId w:val="1001"/>
        </w:numPr>
        <w:pStyle w:val="Compact"/>
      </w:pPr>
      <w:r>
        <w:rPr>
          <w:bCs/>
          <w:b/>
        </w:rPr>
        <w:t xml:space="preserve">Accounting Standard:</w:t>
      </w:r>
      <w:r>
        <w:t xml:space="preserve"> </w:t>
      </w:r>
      <w:r>
        <w:t xml:space="preserve">GHG Protocol, specifically the Product Standard, complemented by the Corporate Standard for Scope 1, 2, and 3 categorization, and the 2026 Land Sector and Removals (LSR) Standard for relevant land-use and carbon removal aspects.</w:t>
      </w:r>
    </w:p>
    <w:p>
      <w:pPr>
        <w:numPr>
          <w:ilvl w:val="0"/>
          <w:numId w:val="1001"/>
        </w:numPr>
        <w:pStyle w:val="Compact"/>
      </w:pPr>
      <w:r>
        <w:rPr>
          <w:bCs/>
          <w:b/>
        </w:rPr>
        <w:t xml:space="preserve">Allocation:</w:t>
      </w:r>
      <w:r>
        <w:t xml:space="preserve"> </w:t>
      </w:r>
      <w:r>
        <w:t xml:space="preserve">Mass-based allocation is primarily applied where co-production or waste by-products occur, ensuring that environmental burdens are appropriately distributed based on the physical mass of outputs. For recycled content, the "recycled content" approach (or "cut-off" approach) is applied, where the burden of recycling is attributed to the system where the waste is generated, and materials entering the product system as recycled content carry no upstream burden from previous lifecycles.</w:t>
      </w:r>
    </w:p>
    <w:p>
      <w:r>
        <w:pict>
          <v:rect style="width:0;height:1.5pt" o:hralign="center" o:hrstd="t" o:hr="t"/>
        </w:pict>
      </w:r>
    </w:p>
    <w:bookmarkEnd w:id="22"/>
    <w:bookmarkStart w:id="29" w:name="X35745a8e252718d5a0d40cb3fbfce10aee0336d"/>
    <w:p>
      <w:pPr>
        <w:pStyle w:val="Heading2"/>
      </w:pPr>
      <w:r>
        <w:t xml:space="preserve">2. &amp; 3. Lifecycle Mapping (LCI Inventory Stages) &amp; Data Collection</w:t>
      </w:r>
    </w:p>
    <w:p>
      <w:pPr>
        <w:pStyle w:val="FirstParagraph"/>
      </w:pPr>
      <w:r>
        <w:t xml:space="preserve">This section details the lifecycle stages considered and the primary and secondary data points collected for the analysis. Assumptions for placeholder parameters are explicitly stated.</w:t>
      </w:r>
    </w:p>
    <w:bookmarkStart w:id="24" w:name="Xfc7102374c5b2576d25d300c196572624d3c9d4"/>
    <w:p>
      <w:pPr>
        <w:pStyle w:val="Heading3"/>
      </w:pPr>
      <w:r>
        <w:t xml:space="preserve">2.1. Materials Acquisition &amp; Pre-processing (Upstream - Scope 3, Category 1)</w:t>
      </w:r>
    </w:p>
    <w:p>
      <w:pPr>
        <w:pStyle w:val="FirstParagraph"/>
      </w:pPr>
      <w:r>
        <w:t xml:space="preserve">The Detailed Bill of Materials (BOM) for</w:t>
      </w:r>
      <w:r>
        <w:t xml:space="preserve"> </w:t>
      </w:r>
      <w:r>
        <w:t xml:space="preserve">exxsxfpnwz</w:t>
      </w:r>
      <w:r>
        <w:t xml:space="preserve"> </w:t>
      </w:r>
      <w:r>
        <w:t xml:space="preserve">is based on the provided placeholder `dzxtsjgr` and has been populated with a representative composition for a generic electronic device (e.g., a "Smart Sensor Unit"). Emission factors are sourced from industry-standard databases like Ecoinvent and DEFRA, representing cradle-to-gate impacts.</w:t>
      </w:r>
    </w:p>
    <w:bookmarkStart w:id="23" w:name="Xd19ebe49171c414eba1efd3efdd7bf97564982d"/>
    <w:p>
      <w:pPr>
        <w:pStyle w:val="Heading4"/>
      </w:pPr>
      <w:r>
        <w:t xml:space="preserve">Detailed Bill of Materials (BOM) for exxsxfpnwz</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2.50</w:t>
            </w:r>
          </w:p>
        </w:tc>
        <w:tc>
          <w:tcPr/>
          <w:p>
            <w:pPr>
              <w:pStyle w:val="Compact"/>
              <w:jc w:val="left"/>
            </w:pPr>
            <w:r>
              <w:t xml:space="preserve">0.375</w:t>
            </w:r>
          </w:p>
        </w:tc>
      </w:tr>
      <w:tr>
        <w:tc>
          <w:tcPr/>
          <w:p>
            <w:pPr>
              <w:pStyle w:val="Compact"/>
              <w:jc w:val="left"/>
            </w:pPr>
            <w:r>
              <w:t xml:space="preserve">M002</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3.80</w:t>
            </w:r>
          </w:p>
        </w:tc>
        <w:tc>
          <w:tcPr/>
          <w:p>
            <w:pPr>
              <w:pStyle w:val="Compact"/>
              <w:jc w:val="left"/>
            </w:pPr>
            <w:r>
              <w:t xml:space="preserve">0.076</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0.80</w:t>
            </w:r>
          </w:p>
        </w:tc>
        <w:tc>
          <w:tcPr/>
          <w:p>
            <w:pPr>
              <w:pStyle w:val="Compact"/>
              <w:jc w:val="left"/>
            </w:pPr>
            <w:r>
              <w:t xml:space="preserve">0.800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Cell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0.750</w:t>
            </w:r>
          </w:p>
        </w:tc>
      </w:tr>
      <w:tr>
        <w:tc>
          <w:tcPr/>
          <w:p>
            <w:pPr>
              <w:pStyle w:val="Compact"/>
              <w:jc w:val="left"/>
            </w:pPr>
            <w:r>
              <w:t xml:space="preserve">M005</w:t>
            </w:r>
          </w:p>
        </w:tc>
        <w:tc>
          <w:tcPr/>
          <w:p>
            <w:pPr>
              <w:pStyle w:val="Compact"/>
              <w:jc w:val="left"/>
            </w:pPr>
            <w:r>
              <w:t xml:space="preserve">Aluminium Heatsink</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4.20</w:t>
            </w:r>
          </w:p>
        </w:tc>
        <w:tc>
          <w:tcPr/>
          <w:p>
            <w:pPr>
              <w:pStyle w:val="Compact"/>
              <w:jc w:val="left"/>
            </w:pPr>
            <w:r>
              <w:t xml:space="preserve">0.126</w:t>
            </w:r>
          </w:p>
        </w:tc>
      </w:tr>
      <w:tr>
        <w:tc>
          <w:tcPr/>
          <w:p>
            <w:pPr>
              <w:pStyle w:val="Compact"/>
              <w:jc w:val="left"/>
            </w:pPr>
            <w:r>
              <w:t xml:space="preserve">M006</w:t>
            </w:r>
          </w:p>
        </w:tc>
        <w:tc>
          <w:tcPr/>
          <w:p>
            <w:pPr>
              <w:pStyle w:val="Compact"/>
              <w:jc w:val="left"/>
            </w:pPr>
            <w:r>
              <w:t xml:space="preserve">Silicon Chipset</w:t>
            </w:r>
          </w:p>
        </w:tc>
        <w:tc>
          <w:tcPr/>
          <w:p>
            <w:pPr>
              <w:pStyle w:val="Compact"/>
              <w:jc w:val="left"/>
            </w:pPr>
            <w:r>
              <w:t xml:space="preserve">Electronics</w:t>
            </w:r>
          </w:p>
        </w:tc>
        <w:tc>
          <w:tcPr/>
          <w:p>
            <w:pPr>
              <w:pStyle w:val="Compact"/>
              <w:jc w:val="left"/>
            </w:pPr>
            <w:r>
              <w:t xml:space="preserve">Semiconductor Fab</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50.00</w:t>
            </w:r>
          </w:p>
        </w:tc>
        <w:tc>
          <w:tcPr/>
          <w:p>
            <w:pPr>
              <w:pStyle w:val="Compact"/>
              <w:jc w:val="left"/>
            </w:pPr>
            <w:r>
              <w:t xml:space="preserve">0.500</w:t>
            </w:r>
          </w:p>
        </w:tc>
      </w:tr>
      <w:tr>
        <w:tc>
          <w:tcPr/>
          <w:p>
            <w:pPr>
              <w:pStyle w:val="Compact"/>
              <w:jc w:val="left"/>
            </w:pPr>
            <w:r>
              <w:t xml:space="preserve">M007</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Pulping &amp; Forming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0.50</w:t>
            </w:r>
          </w:p>
        </w:tc>
        <w:tc>
          <w:tcPr/>
          <w:p>
            <w:pPr>
              <w:pStyle w:val="Compact"/>
              <w:jc w:val="left"/>
            </w:pPr>
            <w:r>
              <w:t xml:space="preserve">0.050</w:t>
            </w:r>
          </w:p>
        </w:tc>
      </w:tr>
      <w:tr>
        <w:tc>
          <w:tcPr>
            <w:gridSpan w:val="7"/>
          </w:tcPr>
          <w:p>
            <w:pPr>
              <w:pStyle w:val="Compact"/>
              <w:jc w:val="left"/>
            </w:pPr>
            <w:r>
              <w:rPr>
                <w:bCs/>
                <w:b/>
              </w:rPr>
              <w:t xml:space="preserve">Total Material Emissions</w:t>
            </w:r>
          </w:p>
        </w:tc>
        <w:tc>
          <w:tcPr/>
          <w:p>
            <w:pPr>
              <w:pStyle w:val="Compact"/>
              <w:jc w:val="left"/>
            </w:pPr>
            <w:r>
              <w:rPr>
                <w:bCs/>
                <w:b/>
              </w:rPr>
              <w:t xml:space="preserve">2.677</w:t>
            </w:r>
          </w:p>
        </w:tc>
      </w:tr>
    </w:tbl>
    <w:bookmarkEnd w:id="23"/>
    <w:bookmarkEnd w:id="24"/>
    <w:bookmarkStart w:id="25" w:name="Xa81d4e155baeae8d19353906e00281a928556c6"/>
    <w:p>
      <w:pPr>
        <w:pStyle w:val="Heading3"/>
      </w:pPr>
      <w:r>
        <w:t xml:space="preserve">2.2. Manufacturing &amp; Assembly (Production - Scope 1 &amp; 2)</w:t>
      </w:r>
    </w:p>
    <w:p>
      <w:pPr>
        <w:pStyle w:val="FirstParagraph"/>
      </w:pPr>
      <w:r>
        <w:t xml:space="preserve">This stage covers the energy consumption at the manufacturing facility in China for the assembly of `exxsxfpnwz`.</w:t>
      </w:r>
      <w:r>
        <w:t xml:space="preserve"> </w:t>
      </w:r>
      <w:r>
        <w:t xml:space="preserve">Direct emissions (Scope 1) from owned or controlled sources are considered negligible for this product\'s assembly process, as the focus is primarily on purchased energy.</w:t>
      </w:r>
    </w:p>
    <w:p>
      <w:pPr>
        <w:numPr>
          <w:ilvl w:val="0"/>
          <w:numId w:val="1003"/>
        </w:numPr>
        <w:pStyle w:val="Compact"/>
      </w:pPr>
      <w:r>
        <w:rPr>
          <w:bCs/>
          <w:b/>
        </w:rPr>
        <w:t xml:space="preserve">Energy Intensity (kWh/unit):</w:t>
      </w:r>
      <w:r>
        <w:t xml:space="preserve"> </w:t>
      </w:r>
      <w:r>
        <w:t xml:space="preserve">`ektoprtxqy` = 8.5 kWh/unit (Assumed).</w:t>
      </w:r>
    </w:p>
    <w:p>
      <w:pPr>
        <w:numPr>
          <w:ilvl w:val="0"/>
          <w:numId w:val="1003"/>
        </w:numPr>
        <w:pStyle w:val="Compact"/>
      </w:pPr>
      <w:r>
        <w:rPr>
          <w:bCs/>
          <w:b/>
        </w:rPr>
        <w:t xml:space="preserve">Renewable Energy Usage:</w:t>
      </w:r>
      <w:r>
        <w:t xml:space="preserve"> </w:t>
      </w:r>
      <w:r>
        <w:t xml:space="preserve">`qdlenxlkei` = 70% (Assumed).</w:t>
      </w:r>
    </w:p>
    <w:p>
      <w:pPr>
        <w:numPr>
          <w:ilvl w:val="0"/>
          <w:numId w:val="1003"/>
        </w:numPr>
        <w:pStyle w:val="Compact"/>
      </w:pPr>
      <w:r>
        <w:rPr>
          <w:bCs/>
          <w:b/>
        </w:rPr>
        <w:t xml:space="preserve">Grid Emission Factor (China):</w:t>
      </w:r>
      <w:r>
        <w:t xml:space="preserve"> </w:t>
      </w:r>
      <w:r>
        <w:t xml:space="preserve">Approximately 0.65 kg CO2e/kWh (Based on average grid mix for China, a secondary data point).</w:t>
      </w:r>
    </w:p>
    <w:p>
      <w:pPr>
        <w:numPr>
          <w:ilvl w:val="0"/>
          <w:numId w:val="1003"/>
        </w:numPr>
        <w:pStyle w:val="Compact"/>
      </w:pPr>
      <w:r>
        <w:rPr>
          <w:bCs/>
          <w:b/>
        </w:rPr>
        <w:t xml:space="preserve">Renewable Energy Emission Factor:</w:t>
      </w:r>
      <w:r>
        <w:t xml:space="preserve"> </w:t>
      </w:r>
      <w:r>
        <w:t xml:space="preserve">0.0 kg CO2e/kWh (Assumed for certified renewable energy).</w:t>
      </w:r>
    </w:p>
    <w:bookmarkEnd w:id="25"/>
    <w:bookmarkStart w:id="26" w:name="X4257224a22b4f16935e887c99cf14dae39f8624"/>
    <w:p>
      <w:pPr>
        <w:pStyle w:val="Heading3"/>
      </w:pPr>
      <w:r>
        <w:t xml:space="preserve">2.3. Transport &amp; Distribution (Upstream &amp; Downstream - Scope 3, Category 4 &amp; 9)</w:t>
      </w:r>
    </w:p>
    <w:p>
      <w:pPr>
        <w:pStyle w:val="FirstParagraph"/>
      </w:pPr>
      <w:r>
        <w:t xml:space="preserve">Logistics data is incorporated for both inbound raw materials (upstream) and outbound finished products (downstream).</w:t>
      </w:r>
    </w:p>
    <w:p>
      <w:pPr>
        <w:numPr>
          <w:ilvl w:val="0"/>
          <w:numId w:val="1004"/>
        </w:numPr>
        <w:pStyle w:val="Compact"/>
      </w:pPr>
      <w:r>
        <w:rPr>
          <w:bCs/>
          <w:b/>
        </w:rPr>
        <w:t xml:space="preserve">Inbound Transport (Raw Materials from Europe to China):</w:t>
      </w:r>
    </w:p>
    <w:p>
      <w:pPr>
        <w:numPr>
          <w:ilvl w:val="1"/>
          <w:numId w:val="1005"/>
        </w:numPr>
        <w:pStyle w:val="Compact"/>
      </w:pPr>
      <w:r>
        <w:t xml:space="preserve">Transport Mode: `Select Mode` = Sea Freight (Intercontinental) (Assumed).</w:t>
      </w:r>
    </w:p>
    <w:p>
      <w:pPr>
        <w:numPr>
          <w:ilvl w:val="1"/>
          <w:numId w:val="1005"/>
        </w:numPr>
        <w:pStyle w:val="Compact"/>
      </w:pPr>
      <w:r>
        <w:t xml:space="preserve">Transport Distance: `sjtdowrdmn` = 15,000 km (Assumed).</w:t>
      </w:r>
    </w:p>
    <w:p>
      <w:pPr>
        <w:numPr>
          <w:ilvl w:val="1"/>
          <w:numId w:val="1005"/>
        </w:numPr>
        <w:pStyle w:val="Compact"/>
      </w:pPr>
      <w:r>
        <w:t xml:space="preserve">Emission Factor (Sea Freight, large vessel): 0.005 kg CO2e/tonne-km (Secondary data, Ecoinvent/DEFRA).</w:t>
      </w:r>
    </w:p>
    <w:p>
      <w:pPr>
        <w:numPr>
          <w:ilvl w:val="1"/>
          <w:numId w:val="1005"/>
        </w:numPr>
        <w:pStyle w:val="Compact"/>
      </w:pPr>
      <w:r>
        <w:t xml:space="preserve">Estimated Mass of Product + Packaging: ~0.5 kg/unit. Assuming raw materials are 2x the final product weight: 1.0 kg/unit.</w:t>
      </w:r>
    </w:p>
    <w:p>
      <w:pPr>
        <w:numPr>
          <w:ilvl w:val="0"/>
          <w:numId w:val="1004"/>
        </w:numPr>
        <w:pStyle w:val="Compact"/>
      </w:pPr>
      <w:r>
        <w:rPr>
          <w:bCs/>
          <w:b/>
        </w:rPr>
        <w:t xml:space="preserve">Outbound Transport (Finished Products from China to Europe):</w:t>
      </w:r>
    </w:p>
    <w:p>
      <w:pPr>
        <w:numPr>
          <w:ilvl w:val="1"/>
          <w:numId w:val="1006"/>
        </w:numPr>
        <w:pStyle w:val="Compact"/>
      </w:pPr>
      <w:r>
        <w:t xml:space="preserve">Transport Mode: `Select Mode` = Sea Freight (Intercontinental) (Assumed).</w:t>
      </w:r>
    </w:p>
    <w:p>
      <w:pPr>
        <w:numPr>
          <w:ilvl w:val="1"/>
          <w:numId w:val="1006"/>
        </w:numPr>
        <w:pStyle w:val="Compact"/>
      </w:pPr>
      <w:r>
        <w:t xml:space="preserve">Transport Distance: `sjtdowrdmn` = 15,000 km (Assumed).</w:t>
      </w:r>
    </w:p>
    <w:p>
      <w:pPr>
        <w:numPr>
          <w:ilvl w:val="1"/>
          <w:numId w:val="1006"/>
        </w:numPr>
        <w:pStyle w:val="Compact"/>
      </w:pPr>
      <w:r>
        <w:t xml:space="preserve">Emission Factor (Sea Freight, large vessel): 0.005 kg CO2e/tonne-km.</w:t>
      </w:r>
    </w:p>
    <w:p>
      <w:pPr>
        <w:numPr>
          <w:ilvl w:val="0"/>
          <w:numId w:val="1004"/>
        </w:numPr>
        <w:pStyle w:val="Compact"/>
      </w:pPr>
      <w:r>
        <w:rPr>
          <w:bCs/>
          <w:b/>
        </w:rPr>
        <w:t xml:space="preserve">Regional Distribution &amp; Last-Mile Delivery (within Europe):</w:t>
      </w:r>
    </w:p>
    <w:p>
      <w:pPr>
        <w:numPr>
          <w:ilvl w:val="1"/>
          <w:numId w:val="1007"/>
        </w:numPr>
        <w:pStyle w:val="Compact"/>
      </w:pPr>
      <w:r>
        <w:t xml:space="preserve">Transport Mode: Road Freight (Heavy Duty Truck) for regional, Van Delivery for last-mile (Assumed).</w:t>
      </w:r>
    </w:p>
    <w:p>
      <w:pPr>
        <w:numPr>
          <w:ilvl w:val="1"/>
          <w:numId w:val="1007"/>
        </w:numPr>
        <w:pStyle w:val="Compact"/>
      </w:pPr>
      <w:r>
        <w:t xml:space="preserve">Transport Distance: `sjtdowrdmn` = 500 km (Regional) + 50 km (Last-Mile) (Assumed).</w:t>
      </w:r>
    </w:p>
    <w:p>
      <w:pPr>
        <w:numPr>
          <w:ilvl w:val="1"/>
          <w:numId w:val="1007"/>
        </w:numPr>
        <w:pStyle w:val="Compact"/>
      </w:pPr>
      <w:r>
        <w:t xml:space="preserve">Emission Factor (Road Freight, HGV &gt;16t): 0.08 kg CO2e/tonne-km (Secondary data, Ecoinvent/DEFRA).</w:t>
      </w:r>
    </w:p>
    <w:p>
      <w:pPr>
        <w:numPr>
          <w:ilvl w:val="1"/>
          <w:numId w:val="1007"/>
        </w:numPr>
        <w:pStyle w:val="Compact"/>
      </w:pPr>
      <w:r>
        <w:t xml:space="preserve">Emission Factor (Van Delivery): 0.25 kg CO2e/tonne-km (Secondary data, Ecoinvent/DEFRA).</w:t>
      </w:r>
    </w:p>
    <w:bookmarkEnd w:id="26"/>
    <w:bookmarkStart w:id="27" w:name="X01fffecb4d51cf9638741502492363d57dc681a"/>
    <w:p>
      <w:pPr>
        <w:pStyle w:val="Heading3"/>
      </w:pPr>
      <w:r>
        <w:t xml:space="preserve">2.4. Use Phase (Downstream - Scope 3, Category 11)</w:t>
      </w:r>
    </w:p>
    <w:p>
      <w:pPr>
        <w:pStyle w:val="FirstParagraph"/>
      </w:pPr>
      <w:r>
        <w:t xml:space="preserve">The energy consumption during the product\'s lifespan is a significant factor in the overall footprint.</w:t>
      </w:r>
    </w:p>
    <w:p>
      <w:pPr>
        <w:numPr>
          <w:ilvl w:val="0"/>
          <w:numId w:val="1008"/>
        </w:numPr>
        <w:pStyle w:val="Compact"/>
      </w:pPr>
      <w:r>
        <w:rPr>
          <w:bCs/>
          <w:b/>
        </w:rPr>
        <w:t xml:space="preserve">Product Lifespan:</w:t>
      </w:r>
      <w:r>
        <w:t xml:space="preserve"> </w:t>
      </w:r>
      <w:r>
        <w:t xml:space="preserve">`owjlmtvprm` = 3 years (Assumed).</w:t>
      </w:r>
    </w:p>
    <w:p>
      <w:pPr>
        <w:numPr>
          <w:ilvl w:val="0"/>
          <w:numId w:val="1008"/>
        </w:numPr>
        <w:pStyle w:val="Compact"/>
      </w:pPr>
      <w:r>
        <w:rPr>
          <w:bCs/>
          <w:b/>
        </w:rPr>
        <w:t xml:space="preserve">Energy Consumption in Use:</w:t>
      </w:r>
      <w:r>
        <w:t xml:space="preserve"> </w:t>
      </w:r>
      <w:r>
        <w:t xml:space="preserve">`trwnegxpts` = 5 kWh/year (Assumed).</w:t>
      </w:r>
    </w:p>
    <w:p>
      <w:pPr>
        <w:numPr>
          <w:ilvl w:val="0"/>
          <w:numId w:val="1008"/>
        </w:numPr>
        <w:pStyle w:val="Compact"/>
      </w:pPr>
      <w:r>
        <w:rPr>
          <w:bCs/>
          <w:b/>
        </w:rPr>
        <w:t xml:space="preserve">Average Grid Emission Factor (Europe):</w:t>
      </w:r>
      <w:r>
        <w:t xml:space="preserve"> </w:t>
      </w:r>
      <w:r>
        <w:t xml:space="preserve">Approximately 0.25 kg CO2e/kWh (Secondary data, representative European average).</w:t>
      </w:r>
    </w:p>
    <w:bookmarkEnd w:id="27"/>
    <w:bookmarkStart w:id="28" w:name="X9c0ae82b25d76f37a2834bd60185fdb72258056"/>
    <w:p>
      <w:pPr>
        <w:pStyle w:val="Heading3"/>
      </w:pPr>
      <w:r>
        <w:t xml:space="preserve">2.5. End-of-Life (EoL) Treatment (Downstream - Scope 3, Category 12)</w:t>
      </w:r>
    </w:p>
    <w:p>
      <w:pPr>
        <w:pStyle w:val="FirstParagraph"/>
      </w:pPr>
      <w:r>
        <w:t xml:space="preserve">EoL scenarios incorporate recyclability and circular economy impacts.</w:t>
      </w:r>
    </w:p>
    <w:p>
      <w:pPr>
        <w:numPr>
          <w:ilvl w:val="0"/>
          <w:numId w:val="1009"/>
        </w:numPr>
        <w:pStyle w:val="Compact"/>
      </w:pPr>
      <w:r>
        <w:rPr>
          <w:bCs/>
          <w:b/>
        </w:rPr>
        <w:t xml:space="preserve">Recyclability Percentage:</w:t>
      </w:r>
      <w:r>
        <w:t xml:space="preserve"> </w:t>
      </w:r>
      <w:r>
        <w:t xml:space="preserve">`rrqfxrilgf` = 60% (Assumed).</w:t>
      </w:r>
    </w:p>
    <w:p>
      <w:pPr>
        <w:numPr>
          <w:ilvl w:val="0"/>
          <w:numId w:val="1009"/>
        </w:numPr>
        <w:pStyle w:val="Compact"/>
      </w:pPr>
      <w:r>
        <w:rPr>
          <w:bCs/>
          <w:b/>
        </w:rPr>
        <w:t xml:space="preserve">Circular/Take-back Programs:</w:t>
      </w:r>
      <w:r>
        <w:t xml:space="preserve"> </w:t>
      </w:r>
      <w:r>
        <w:t xml:space="preserve">`tgrmprdrjd` = Company `itjilxznuh` operates a basic take-back program for end-of-life products, facilitating material recovery (Assumed).</w:t>
      </w:r>
    </w:p>
    <w:p>
      <w:pPr>
        <w:numPr>
          <w:ilvl w:val="0"/>
          <w:numId w:val="1009"/>
        </w:numPr>
        <w:pStyle w:val="Compact"/>
      </w:pPr>
      <w:r>
        <w:rPr>
          <w:bCs/>
          <w:b/>
        </w:rPr>
        <w:t xml:space="preserve">EoL Emission Factors (Secondary data, Ecoinvent/DEFRA):</w:t>
      </w:r>
    </w:p>
    <w:p>
      <w:pPr>
        <w:numPr>
          <w:ilvl w:val="1"/>
          <w:numId w:val="1010"/>
        </w:numPr>
        <w:pStyle w:val="Compact"/>
      </w:pPr>
      <w:r>
        <w:t xml:space="preserve">Recycling (credit/debit for material recovery): -0.5 kg CO2e/kg (for materials like metals, plastics).</w:t>
      </w:r>
    </w:p>
    <w:p>
      <w:pPr>
        <w:numPr>
          <w:ilvl w:val="1"/>
          <w:numId w:val="1010"/>
        </w:numPr>
        <w:pStyle w:val="Compact"/>
      </w:pPr>
      <w:r>
        <w:t xml:space="preserve">Incineration (residual waste): 1.5 kg CO2e/kg.</w:t>
      </w:r>
    </w:p>
    <w:p>
      <w:pPr>
        <w:numPr>
          <w:ilvl w:val="1"/>
          <w:numId w:val="1010"/>
        </w:numPr>
        <w:pStyle w:val="Compact"/>
      </w:pPr>
      <w:r>
        <w:t xml:space="preserve">Landfill (residual waste): 0.2 kg CO2e/kg.</w:t>
      </w:r>
    </w:p>
    <w:p>
      <w:r>
        <w:pict>
          <v:rect style="width:0;height:1.5pt" o:hralign="center" o:hrstd="t" o:hr="t"/>
        </w:pict>
      </w:r>
    </w:p>
    <w:bookmarkEnd w:id="28"/>
    <w:bookmarkEnd w:id="29"/>
    <w:bookmarkStart w:id="38" w:name="X439a6e6dcb43c636bf515ffaf3f59bce0bd6490"/>
    <w:p>
      <w:pPr>
        <w:pStyle w:val="Heading2"/>
      </w:pPr>
      <w:r>
        <w:t xml:space="preserve">4. Emission Calculation (Activity * Emission Factor = CO2e)</w:t>
      </w:r>
    </w:p>
    <w:p>
      <w:pPr>
        <w:pStyle w:val="FirstParagraph"/>
      </w:pPr>
      <w:r>
        <w:t xml:space="preserve">The total Product Carbon Footprint (PCF) for one functional unit of</w:t>
      </w:r>
      <w:r>
        <w:t xml:space="preserve"> </w:t>
      </w:r>
      <w:r>
        <w:t xml:space="preserve">exxsxfpnwz</w:t>
      </w:r>
      <w:r>
        <w:t xml:space="preserve"> </w:t>
      </w:r>
      <w:r>
        <w:t xml:space="preserve">is calculated by summing emissions from each lifecycle stage, categorized according to the GHG Protocol. All calculations below are in kg CO2e.</w:t>
      </w:r>
    </w:p>
    <w:bookmarkStart w:id="30" w:name="X00276586af3598f1fc7866665f5f89534000ead"/>
    <w:p>
      <w:pPr>
        <w:pStyle w:val="Heading3"/>
      </w:pPr>
      <w:r>
        <w:t xml:space="preserve">4.1. Materials Acquisition &amp; Pre-processing (Scope 3, Category 1: Purchased Goods and Services)</w:t>
      </w:r>
    </w:p>
    <w:p>
      <w:pPr>
        <w:pStyle w:val="FirstParagraph"/>
      </w:pPr>
      <w:r>
        <w:t xml:space="preserve">Total Material Emissions: 2.677 kg CO2e (from BOM table above).</w:t>
      </w:r>
    </w:p>
    <w:bookmarkEnd w:id="30"/>
    <w:bookmarkStart w:id="31" w:name="manufacturing-assembly-production"/>
    <w:p>
      <w:pPr>
        <w:pStyle w:val="Heading3"/>
      </w:pPr>
      <w:r>
        <w:t xml:space="preserve">4.2. Manufacturing &amp; Assembly (Production)</w:t>
      </w:r>
    </w:p>
    <w:p>
      <w:pPr>
        <w:numPr>
          <w:ilvl w:val="0"/>
          <w:numId w:val="1011"/>
        </w:numPr>
        <w:pStyle w:val="Compact"/>
      </w:pPr>
      <w:r>
        <w:t xml:space="preserve">Total Energy Consumption: 8.5 kWh/unit.</w:t>
      </w:r>
    </w:p>
    <w:p>
      <w:pPr>
        <w:numPr>
          <w:ilvl w:val="0"/>
          <w:numId w:val="1011"/>
        </w:numPr>
        <w:pStyle w:val="Compact"/>
      </w:pPr>
      <w:r>
        <w:t xml:space="preserve">Renewable Energy Portion: 8.5 kWh * 70% = 5.95 kWh (0 kg CO2e).</w:t>
      </w:r>
    </w:p>
    <w:p>
      <w:pPr>
        <w:numPr>
          <w:ilvl w:val="0"/>
          <w:numId w:val="1011"/>
        </w:numPr>
        <w:pStyle w:val="Compact"/>
      </w:pPr>
      <w:r>
        <w:t xml:space="preserve">Non-Renewable Energy Portion: 8.5 kWh * 30% = 2.55 kWh.</w:t>
      </w:r>
    </w:p>
    <w:p>
      <w:pPr>
        <w:numPr>
          <w:ilvl w:val="0"/>
          <w:numId w:val="1011"/>
        </w:numPr>
        <w:pStyle w:val="Compact"/>
      </w:pPr>
      <w:r>
        <w:t xml:space="preserve">Emissions from Non-Renewable Energy: 2.55 kWh * 0.65 kg CO2e/kWh = 1.658 kg CO2e.</w:t>
      </w:r>
    </w:p>
    <w:p>
      <w:pPr>
        <w:pStyle w:val="FirstParagraph"/>
      </w:pPr>
      <w:r>
        <w:rPr>
          <w:bCs/>
          <w:b/>
        </w:rPr>
        <w:t xml:space="preserve">Total Manufacturing Emissions (Scope 2): 1.658 kg CO2e.</w:t>
      </w:r>
    </w:p>
    <w:bookmarkEnd w:id="31"/>
    <w:bookmarkStart w:id="32" w:name="X267a9d4e01632d4209f60d4182f3de86db7a7f0"/>
    <w:p>
      <w:pPr>
        <w:pStyle w:val="Heading3"/>
      </w:pPr>
      <w:r>
        <w:t xml:space="preserve">4.3. Transport &amp; Distribution (Scope 3, Category 4 &amp; 9)</w:t>
      </w:r>
    </w:p>
    <w:p>
      <w:pPr>
        <w:numPr>
          <w:ilvl w:val="0"/>
          <w:numId w:val="1012"/>
        </w:numPr>
        <w:pStyle w:val="Compact"/>
      </w:pPr>
      <w:r>
        <w:rPr>
          <w:bCs/>
          <w:b/>
        </w:rPr>
        <w:t xml:space="preserve">Inbound Raw Materials (Sea Freight):</w:t>
      </w:r>
      <w:r>
        <w:t xml:space="preserve"> </w:t>
      </w:r>
      <w:r>
        <w:t xml:space="preserve">1.0 kg/unit * 15,000 km * 0.005 kg CO2e/tonne-km (or 0.000005 kg CO2e/kg-km) = 0.075 kg CO2e.</w:t>
      </w:r>
    </w:p>
    <w:p>
      <w:pPr>
        <w:numPr>
          <w:ilvl w:val="0"/>
          <w:numId w:val="1012"/>
        </w:numPr>
        <w:pStyle w:val="Compact"/>
      </w:pPr>
      <w:r>
        <w:rPr>
          <w:bCs/>
          <w:b/>
        </w:rPr>
        <w:t xml:space="preserve">Outbound Finished Products (Sea Freight):</w:t>
      </w:r>
      <w:r>
        <w:t xml:space="preserve"> </w:t>
      </w:r>
      <w:r>
        <w:t xml:space="preserve">0.5 kg/unit * 15,000 km * 0.005 kg CO2e/tonne-km = 0.0375 kg CO2e.</w:t>
      </w:r>
    </w:p>
    <w:p>
      <w:pPr>
        <w:numPr>
          <w:ilvl w:val="0"/>
          <w:numId w:val="1012"/>
        </w:numPr>
        <w:pStyle w:val="Compact"/>
      </w:pPr>
      <w:r>
        <w:rPr>
          <w:bCs/>
          <w:b/>
        </w:rPr>
        <w:t xml:space="preserve">Regional Distribution (Road Freight):</w:t>
      </w:r>
      <w:r>
        <w:t xml:space="preserve"> </w:t>
      </w:r>
      <w:r>
        <w:t xml:space="preserve">0.5 kg/unit * 500 km * 0.08 kg CO2e/tonne-km = 0.020 kg CO2e.</w:t>
      </w:r>
    </w:p>
    <w:p>
      <w:pPr>
        <w:numPr>
          <w:ilvl w:val="0"/>
          <w:numId w:val="1012"/>
        </w:numPr>
        <w:pStyle w:val="Compact"/>
      </w:pPr>
      <w:r>
        <w:rPr>
          <w:bCs/>
          <w:b/>
        </w:rPr>
        <w:t xml:space="preserve">Last-Mile Delivery (Van Delivery):</w:t>
      </w:r>
      <w:r>
        <w:t xml:space="preserve"> </w:t>
      </w:r>
      <w:r>
        <w:t xml:space="preserve">0.5 kg/unit * 50 km * 0.25 kg CO2e/tonne-km = 0.00625 kg CO2e.</w:t>
      </w:r>
    </w:p>
    <w:p>
      <w:pPr>
        <w:pStyle w:val="FirstParagraph"/>
      </w:pPr>
      <w:r>
        <w:rPr>
          <w:bCs/>
          <w:b/>
        </w:rPr>
        <w:t xml:space="preserve">Total Transport &amp; Distribution Emissions (Scope 3): 0.075 + 0.0375 + 0.020 + 0.00625 = 0.139 kg CO2e.</w:t>
      </w:r>
    </w:p>
    <w:bookmarkEnd w:id="32"/>
    <w:bookmarkStart w:id="33" w:name="Xc8d47610e025d3b1fe367d676386ecee874efa3"/>
    <w:p>
      <w:pPr>
        <w:pStyle w:val="Heading3"/>
      </w:pPr>
      <w:r>
        <w:t xml:space="preserve">4.4. Use Phase (Scope 3, Category 11: Use of Sold Products)</w:t>
      </w:r>
    </w:p>
    <w:p>
      <w:pPr>
        <w:numPr>
          <w:ilvl w:val="0"/>
          <w:numId w:val="1013"/>
        </w:numPr>
        <w:pStyle w:val="Compact"/>
      </w:pPr>
      <w:r>
        <w:t xml:space="preserve">Total Energy Consumption over Lifespan: 5 kWh/year * 3 years = 15 kWh/unit.</w:t>
      </w:r>
    </w:p>
    <w:p>
      <w:pPr>
        <w:numPr>
          <w:ilvl w:val="0"/>
          <w:numId w:val="1013"/>
        </w:numPr>
        <w:pStyle w:val="Compact"/>
      </w:pPr>
      <w:r>
        <w:t xml:space="preserve">Emissions: 15 kWh/unit * 0.25 kg CO2e/kWh (Europe grid mix) = 3.75 kg CO2e.</w:t>
      </w:r>
    </w:p>
    <w:p>
      <w:pPr>
        <w:pStyle w:val="FirstParagraph"/>
      </w:pPr>
      <w:r>
        <w:rPr>
          <w:bCs/>
          <w:b/>
        </w:rPr>
        <w:t xml:space="preserve">Total Use Phase Emissions (Scope 3): 3.75 kg CO2e.</w:t>
      </w:r>
    </w:p>
    <w:bookmarkEnd w:id="33"/>
    <w:bookmarkStart w:id="34" w:name="X65f813d24c0ff2e24bde4d8d9de683cc7ae7bcb"/>
    <w:p>
      <w:pPr>
        <w:pStyle w:val="Heading3"/>
      </w:pPr>
      <w:r>
        <w:t xml:space="preserve">4.5. End-of-Life (EoL) Treatment (Scope 3, Category 12: End-of-Life Treatment of Sold Products)</w:t>
      </w:r>
    </w:p>
    <w:p>
      <w:pPr>
        <w:numPr>
          <w:ilvl w:val="0"/>
          <w:numId w:val="1014"/>
        </w:numPr>
        <w:pStyle w:val="Compact"/>
      </w:pPr>
      <w:r>
        <w:t xml:space="preserve">Product Weight at EoL: 0.5 kg/unit.</w:t>
      </w:r>
    </w:p>
    <w:p>
      <w:pPr>
        <w:numPr>
          <w:ilvl w:val="0"/>
          <w:numId w:val="1014"/>
        </w:numPr>
        <w:pStyle w:val="Compact"/>
      </w:pPr>
      <w:r>
        <w:t xml:space="preserve">Recycled Portion: 0.5 kg * 60% = 0.3 kg.</w:t>
      </w:r>
    </w:p>
    <w:p>
      <w:pPr>
        <w:numPr>
          <w:ilvl w:val="1"/>
          <w:numId w:val="1015"/>
        </w:numPr>
        <w:pStyle w:val="Compact"/>
      </w:pPr>
      <w:r>
        <w:t xml:space="preserve">Credit from Recycling: 0.3 kg * -0.5 kg CO2e/kg = -0.15 kg CO2e.</w:t>
      </w:r>
    </w:p>
    <w:p>
      <w:pPr>
        <w:numPr>
          <w:ilvl w:val="0"/>
          <w:numId w:val="1014"/>
        </w:numPr>
        <w:pStyle w:val="Compact"/>
      </w:pPr>
      <w:r>
        <w:t xml:space="preserve">Residual Waste: 0.5 kg * 40% = 0.2 kg.</w:t>
      </w:r>
    </w:p>
    <w:p>
      <w:pPr>
        <w:numPr>
          <w:ilvl w:val="1"/>
          <w:numId w:val="1016"/>
        </w:numPr>
        <w:pStyle w:val="Compact"/>
      </w:pPr>
      <w:r>
        <w:t xml:space="preserve">Assuming 50% Incineration, 50% Landfill for residual waste.</w:t>
      </w:r>
    </w:p>
    <w:p>
      <w:pPr>
        <w:numPr>
          <w:ilvl w:val="1"/>
          <w:numId w:val="1016"/>
        </w:numPr>
        <w:pStyle w:val="Compact"/>
      </w:pPr>
      <w:r>
        <w:t xml:space="preserve">Incinerated: 0.1 kg * 1.5 kg CO2e/kg = 0.15 kg CO2e.</w:t>
      </w:r>
    </w:p>
    <w:p>
      <w:pPr>
        <w:numPr>
          <w:ilvl w:val="1"/>
          <w:numId w:val="1016"/>
        </w:numPr>
        <w:pStyle w:val="Compact"/>
      </w:pPr>
      <w:r>
        <w:t xml:space="preserve">Landfilled: 0.1 kg * 0.2 kg CO2e/kg = 0.02 kg CO2e.</w:t>
      </w:r>
    </w:p>
    <w:p>
      <w:pPr>
        <w:pStyle w:val="FirstParagraph"/>
      </w:pPr>
      <w:r>
        <w:rPr>
          <w:bCs/>
          <w:b/>
        </w:rPr>
        <w:t xml:space="preserve">Total End-of-Life Emissions (Scope 3): -0.15 + 0.15 + 0.02 = 0.02 kg CO2e.</w:t>
      </w:r>
    </w:p>
    <w:bookmarkEnd w:id="34"/>
    <w:bookmarkStart w:id="35" w:name="X7fc55497565ff523e22dc118b8185658f7b9ce1"/>
    <w:p>
      <w:pPr>
        <w:pStyle w:val="Heading3"/>
      </w:pPr>
      <w:r>
        <w:t xml:space="preserve">4.6. Application of 2026 Land Sector and Removals (LSR) Standard</w:t>
      </w:r>
    </w:p>
    <w:p>
      <w:pPr>
        <w:pStyle w:val="FirstParagraph"/>
      </w:pPr>
      <w:r>
        <w:t xml:space="preserve">The GHG Protocol\'s new Land Sector and Removals Standard (LSR Standard), released in January 2026 and effective January 1, 2027, provides crucial guidance for accounting for land sector emissions and CO2 removals. For</w:t>
      </w:r>
      <w:r>
        <w:t xml:space="preserve"> </w:t>
      </w:r>
      <w:r>
        <w:t xml:space="preserve">exxsxfpnwz</w:t>
      </w:r>
      <w:r>
        <w:t xml:space="preserve">, potential impacts related to LSR would primarily fall under</w:t>
      </w:r>
      <w:r>
        <w:t xml:space="preserve"> </w:t>
      </w:r>
      <w:r>
        <w:t xml:space="preserve">Scope 3, Category 1 (Purchased Goods and Services)</w:t>
      </w:r>
      <w:r>
        <w:t xml:space="preserve"> </w:t>
      </w:r>
      <w:r>
        <w:t xml:space="preserve">if any raw materials (e.g., bio-based plastics, paper from forestry) in the BOM involved significant land-use change, land management, or biogenic carbon flows.</w:t>
      </w:r>
    </w:p>
    <w:p>
      <w:pPr>
        <w:pStyle w:val="BodyText"/>
      </w:pPr>
      <w:r>
        <w:t xml:space="preserve">Given the nature of</w:t>
      </w:r>
      <w:r>
        <w:t xml:space="preserve"> </w:t>
      </w:r>
      <w:r>
        <w:t xml:space="preserve">exxsxfpnwz</w:t>
      </w:r>
      <w:r>
        <w:t xml:space="preserve"> </w:t>
      </w:r>
      <w:r>
        <w:t xml:space="preserve">as an electronic device and the detailed BOM provided, which primarily lists manufactured components, direct land-use change emissions attributable to its immediate supply chain are assessed as minor for this report. However, the production of certain materials (e.g., paper for packaging, if sourced from unsustainable forestry) could have land-use implications. The current BOM\'s `Packaging (Cardboard)` item is assumed to use sustainably sourced pulp, minimizing direct LSR impacts. For future iterations, a deeper dive into the origin of bio-based materials would align further with the LSR Standard\'s requirements to quantify land sector emissions and potential CO2 removals.</w:t>
      </w:r>
    </w:p>
    <w:p>
      <w:pPr>
        <w:pStyle w:val="BodyText"/>
      </w:pPr>
      <w:r>
        <w:t xml:space="preserve">As the standard is voluntary until 2027, and accompanying guidance is still being developed, the focus here is on identifying potential relevance. No significant CO2 removals or land-use emissions that would typically fall under the LSR Standard are identified as material for this product\'s current lifecycle based on available data and assumptions. Should</w:t>
      </w:r>
      <w:r>
        <w:t xml:space="preserve"> </w:t>
      </w:r>
      <w:r>
        <w:t xml:space="preserve">itjilxznuh</w:t>
      </w:r>
      <w:r>
        <w:t xml:space="preserve"> </w:t>
      </w:r>
      <w:r>
        <w:t xml:space="preserve">introduce bio-based components or engage in agricultural supply chains for future products, a dedicated assessment using the LSR Standard would be critical.</w:t>
      </w:r>
    </w:p>
    <w:bookmarkEnd w:id="35"/>
    <w:bookmarkStart w:id="36" w:name="total-product-carbon-footprint-summary"/>
    <w:p>
      <w:pPr>
        <w:pStyle w:val="Heading3"/>
      </w:pPr>
      <w:r>
        <w:t xml:space="preserve">4.7. Total Product Carbon Footprint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2.677</w:t>
            </w:r>
          </w:p>
        </w:tc>
      </w:tr>
      <w:tr>
        <w:tc>
          <w:tcPr/>
          <w:p>
            <w:pPr>
              <w:pStyle w:val="Compact"/>
              <w:jc w:val="left"/>
            </w:pPr>
            <w:r>
              <w:t xml:space="preserve">Manufacturing &amp; Assembly</w:t>
            </w:r>
          </w:p>
        </w:tc>
        <w:tc>
          <w:tcPr/>
          <w:p>
            <w:pPr>
              <w:pStyle w:val="Compact"/>
              <w:jc w:val="left"/>
            </w:pPr>
            <w:r>
              <w:t xml:space="preserve">Scope 2</w:t>
            </w:r>
          </w:p>
        </w:tc>
        <w:tc>
          <w:tcPr/>
          <w:p>
            <w:pPr>
              <w:pStyle w:val="Compact"/>
              <w:jc w:val="left"/>
            </w:pPr>
            <w:r>
              <w:t xml:space="preserve">1.658</w:t>
            </w:r>
          </w:p>
        </w:tc>
      </w:tr>
      <w:tr>
        <w:tc>
          <w:tcPr/>
          <w:p>
            <w:pPr>
              <w:pStyle w:val="Compact"/>
              <w:jc w:val="left"/>
            </w:pPr>
            <w:r>
              <w:t xml:space="preserve">Transport &amp; Distribution</w:t>
            </w:r>
          </w:p>
        </w:tc>
        <w:tc>
          <w:tcPr/>
          <w:p>
            <w:pPr>
              <w:pStyle w:val="Compact"/>
              <w:jc w:val="left"/>
            </w:pPr>
            <w:r>
              <w:t xml:space="preserve">Scope 3 (Category 4 &amp; 9)</w:t>
            </w:r>
          </w:p>
        </w:tc>
        <w:tc>
          <w:tcPr/>
          <w:p>
            <w:pPr>
              <w:pStyle w:val="Compact"/>
              <w:jc w:val="left"/>
            </w:pPr>
            <w:r>
              <w:t xml:space="preserve">0.139</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3.750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0.020</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8.244</w:t>
            </w:r>
          </w:p>
        </w:tc>
      </w:tr>
    </w:tbl>
    <w:p>
      <w:pPr>
        <w:pStyle w:val="BodyText"/>
      </w:pPr>
      <w:r>
        <w:rPr>
          <w:bCs/>
          <w:b/>
        </w:rPr>
        <w:t xml:space="preserve">Total Product Carbon Footprint for exxsxfpnwz: 8.244 kg CO2e per unit.</w:t>
      </w:r>
    </w:p>
    <w:bookmarkEnd w:id="36"/>
    <w:bookmarkStart w:id="37" w:name="scope-3-compliance-95-coverage"/>
    <w:p>
      <w:pPr>
        <w:pStyle w:val="Heading3"/>
      </w:pPr>
      <w:r>
        <w:t xml:space="preserve">4.8. Scope 3 Compliance (95% Coverage)</w:t>
      </w:r>
    </w:p>
    <w:p>
      <w:pPr>
        <w:pStyle w:val="FirstParagraph"/>
      </w:pPr>
      <w:r>
        <w:t xml:space="preserve">The total Scope 3 emissions calculated are 2.677 (Materials) + 0.139 (Transport) + 3.750 (Use Phase) + 0.020 (EoL) = 6.586 kg CO2e.</w:t>
      </w:r>
      <w:r>
        <w:t xml:space="preserve"> </w:t>
      </w:r>
      <w:r>
        <w:t xml:space="preserve">The total PCF is 8.244 kg CO2e.</w:t>
      </w:r>
      <w:r>
        <w:t xml:space="preserve"> </w:t>
      </w:r>
      <w:r>
        <w:t xml:space="preserve">Scope 3 coverage is (6.586 / 8.244) * 100% = 79.89%.</w:t>
      </w:r>
    </w:p>
    <w:p>
      <w:pPr>
        <w:pStyle w:val="BodyText"/>
      </w:pPr>
      <w:r>
        <w:rPr>
          <w:bCs/>
          <w:b/>
        </w:rPr>
        <w:t xml:space="preserve">Note:</w:t>
      </w:r>
      <w:r>
        <w:t xml:space="preserve"> </w:t>
      </w:r>
      <w:r>
        <w:t xml:space="preserve">The target of 95% coverage for Scope 3 reporting as per 2026 requirements is not fully met in this initial assessment. The current analysis has focused on the most material Scope 3 categories: purchased goods and services, transportation, use of sold products, and end-of-life treatment. To achieve 95% coverage, further investigation into other Scope 3 categories (e.g., Capital Goods, Fuel- and energy-related activities not covered in Scope 1&amp;2, Waste Generated in Operations, Business Travel, Employee Commuting, Upstream/Downstream Leased Assets, Franchises, Investments) is recommended, particularly for emissions related to the company\'s broader operations that indirectly contribute to the product\'s footprint.</w:t>
      </w:r>
    </w:p>
    <w:p>
      <w:r>
        <w:pict>
          <v:rect style="width:0;height:1.5pt" o:hralign="center" o:hrstd="t" o:hr="t"/>
        </w:pict>
      </w:r>
    </w:p>
    <w:bookmarkEnd w:id="37"/>
    <w:bookmarkEnd w:id="38"/>
    <w:bookmarkStart w:id="42" w:name="review-report"/>
    <w:p>
      <w:pPr>
        <w:pStyle w:val="Heading2"/>
      </w:pPr>
      <w:r>
        <w:t xml:space="preserve">5. Review &amp; Report</w:t>
      </w:r>
    </w:p>
    <w:bookmarkStart w:id="39" w:name="emission-hotspots"/>
    <w:p>
      <w:pPr>
        <w:pStyle w:val="Heading3"/>
      </w:pPr>
      <w:r>
        <w:t xml:space="preserve">5.1. Emission Hotspots</w:t>
      </w:r>
    </w:p>
    <w:p>
      <w:pPr>
        <w:pStyle w:val="FirstParagraph"/>
      </w:pPr>
      <w:r>
        <w:t xml:space="preserve">The primary emission hotspots for</w:t>
      </w:r>
      <w:r>
        <w:t xml:space="preserve"> </w:t>
      </w:r>
      <w:r>
        <w:t xml:space="preserve">exxsxfpnwz</w:t>
      </w:r>
      <w:r>
        <w:t xml:space="preserve"> </w:t>
      </w:r>
      <w:r>
        <w:t xml:space="preserve">are:</w:t>
      </w:r>
    </w:p>
    <w:p>
      <w:pPr>
        <w:numPr>
          <w:ilvl w:val="0"/>
          <w:numId w:val="1017"/>
        </w:numPr>
        <w:pStyle w:val="Compact"/>
      </w:pPr>
      <w:r>
        <w:rPr>
          <w:bCs/>
          <w:b/>
        </w:rPr>
        <w:t xml:space="preserve">Use Phase (Scope 3):</w:t>
      </w:r>
      <w:r>
        <w:t xml:space="preserve"> </w:t>
      </w:r>
      <w:r>
        <w:t xml:space="preserve">Constitutes the largest portion at 3.750 kg CO2e (45.5% of total PCF), driven by energy consumption over the product\'s 3-year lifespan. This highlights the importance of energy-efficient design and user behavior.</w:t>
      </w:r>
    </w:p>
    <w:p>
      <w:pPr>
        <w:numPr>
          <w:ilvl w:val="0"/>
          <w:numId w:val="1017"/>
        </w:numPr>
        <w:pStyle w:val="Compact"/>
      </w:pPr>
      <w:r>
        <w:rPr>
          <w:bCs/>
          <w:b/>
        </w:rPr>
        <w:t xml:space="preserve">Materials Acquisition &amp; Pre-processing (Scope 3):</w:t>
      </w:r>
      <w:r>
        <w:t xml:space="preserve"> </w:t>
      </w:r>
      <w:r>
        <w:t xml:space="preserve">Accounts for 2.677 kg CO2e (32.5% of total PCF). Key contributors are the PCB, Lithium-ion Battery, and Silicon Chipset, reflecting the high embodied carbon of electronic components.</w:t>
      </w:r>
    </w:p>
    <w:p>
      <w:pPr>
        <w:numPr>
          <w:ilvl w:val="0"/>
          <w:numId w:val="1017"/>
        </w:numPr>
        <w:pStyle w:val="Compact"/>
      </w:pPr>
      <w:r>
        <w:rPr>
          <w:bCs/>
          <w:b/>
        </w:rPr>
        <w:t xml:space="preserve">Manufacturing &amp; Assembly (Scope 2):</w:t>
      </w:r>
      <w:r>
        <w:t xml:space="preserve"> </w:t>
      </w:r>
      <w:r>
        <w:t xml:space="preserve">Contributes 1.658 kg CO2e (20.1% of total PCF), largely due to the non-renewable portion of electricity used in the China-based production facility, despite 70% renewable energy usage.</w:t>
      </w:r>
    </w:p>
    <w:bookmarkEnd w:id="39"/>
    <w:bookmarkStart w:id="40" w:name="reliability-and-limitations"/>
    <w:p>
      <w:pPr>
        <w:pStyle w:val="Heading3"/>
      </w:pPr>
      <w:r>
        <w:t xml:space="preserve">5.2. Reliability and Limitations</w:t>
      </w:r>
    </w:p>
    <w:p>
      <w:pPr>
        <w:pStyle w:val="FirstParagraph"/>
      </w:pPr>
      <w:r>
        <w:t xml:space="preserve">This report provides a robust initial PCF based on the GHG Protocol. Its reliability is influenced by several factors:</w:t>
      </w:r>
    </w:p>
    <w:p>
      <w:pPr>
        <w:numPr>
          <w:ilvl w:val="0"/>
          <w:numId w:val="1018"/>
        </w:numPr>
        <w:pStyle w:val="Compact"/>
      </w:pPr>
      <w:r>
        <w:rPr>
          <w:bCs/>
          <w:b/>
        </w:rPr>
        <w:t xml:space="preserve">Assumed Data:</w:t>
      </w:r>
      <w:r>
        <w:t xml:space="preserve"> </w:t>
      </w:r>
      <w:r>
        <w:t xml:space="preserve">Many parameters (e.g., specific BOM details, transport distances/modes, energy consumption values, EoL scenarios, and renewable energy mix) were assumed based on industry averages and expert judgment due to the placeholder nature of the input values provided in the prompt. While these assumptions are reasonable, they introduce a degree of uncertainty.</w:t>
      </w:r>
    </w:p>
    <w:p>
      <w:pPr>
        <w:numPr>
          <w:ilvl w:val="0"/>
          <w:numId w:val="1018"/>
        </w:numPr>
        <w:pStyle w:val="Compact"/>
      </w:pPr>
      <w:r>
        <w:rPr>
          <w:bCs/>
          <w:b/>
        </w:rPr>
        <w:t xml:space="preserve">Secondary Emission Factors:</w:t>
      </w:r>
      <w:r>
        <w:t xml:space="preserve"> </w:t>
      </w:r>
      <w:r>
        <w:t xml:space="preserve">Reliance on generic, industry-average emission factors from databases like Ecoinvent and DEFRA may not perfectly reflect the specific processes and efficiencies of</w:t>
      </w:r>
      <w:r>
        <w:t xml:space="preserve"> </w:t>
      </w:r>
      <w:r>
        <w:t xml:space="preserve">itjilxznuh</w:t>
      </w:r>
      <w:r>
        <w:t xml:space="preserve">\'s actual supply chain and operations. Primary data collection directly from suppliers and facilities would enhance accuracy.</w:t>
      </w:r>
    </w:p>
    <w:p>
      <w:pPr>
        <w:numPr>
          <w:ilvl w:val="0"/>
          <w:numId w:val="1018"/>
        </w:numPr>
        <w:pStyle w:val="Compact"/>
      </w:pPr>
      <w:r>
        <w:rPr>
          <w:bCs/>
          <w:b/>
        </w:rPr>
        <w:t xml:space="preserve">LSR Standard Implementation:</w:t>
      </w:r>
      <w:r>
        <w:t xml:space="preserve"> </w:t>
      </w:r>
      <w:r>
        <w:t xml:space="preserve">While acknowledged, a full, granular application of the 2026 LSR Standard would require detailed primary data on land use associated with specific raw material sourcing, which was beyond the scope of this general assessment. The standard is also formally effective January 1, 2027, with additional guidance forthcoming in 2026.</w:t>
      </w:r>
    </w:p>
    <w:p>
      <w:pPr>
        <w:numPr>
          <w:ilvl w:val="0"/>
          <w:numId w:val="1018"/>
        </w:numPr>
        <w:pStyle w:val="Compact"/>
      </w:pPr>
      <w:r>
        <w:rPr>
          <w:bCs/>
          <w:b/>
        </w:rPr>
        <w:t xml:space="preserve">Scope 3 Coverage:</w:t>
      </w:r>
      <w:r>
        <w:t xml:space="preserve"> </w:t>
      </w:r>
      <w:r>
        <w:t xml:space="preserve">The calculated Scope 3 coverage of 79.89% indicates that a minor portion of indirect emissions may not be fully captured, requiring further data collection to meet the 95% target.</w:t>
      </w:r>
    </w:p>
    <w:bookmarkEnd w:id="40"/>
    <w:bookmarkStart w:id="41" w:name="X0b7d2df2daedbee5a4aeec986f567ef7fe34813"/>
    <w:p>
      <w:pPr>
        <w:pStyle w:val="Heading3"/>
      </w:pPr>
      <w:r>
        <w:t xml:space="preserve">5.3. Recommendations for Reduction and Future Analysis</w:t>
      </w:r>
    </w:p>
    <w:p>
      <w:pPr>
        <w:numPr>
          <w:ilvl w:val="0"/>
          <w:numId w:val="1019"/>
        </w:numPr>
        <w:pStyle w:val="Compact"/>
      </w:pPr>
      <w:r>
        <w:rPr>
          <w:bCs/>
          <w:b/>
        </w:rPr>
        <w:t xml:space="preserve">Product Design for Longevity &amp; Efficiency:</w:t>
      </w:r>
      <w:r>
        <w:t xml:space="preserve"> </w:t>
      </w:r>
      <w:r>
        <w:t xml:space="preserve">Focus on extending product lifespan beyond 3 years and improving energy efficiency during the use phase to significantly reduce the largest hotspot. Educate consumers on sustainable use.</w:t>
      </w:r>
    </w:p>
    <w:p>
      <w:pPr>
        <w:numPr>
          <w:ilvl w:val="0"/>
          <w:numId w:val="1019"/>
        </w:numPr>
        <w:pStyle w:val="Compact"/>
      </w:pPr>
      <w:r>
        <w:rPr>
          <w:bCs/>
          <w:b/>
        </w:rPr>
        <w:t xml:space="preserve">Sustainable Sourcing:</w:t>
      </w:r>
      <w:r>
        <w:t xml:space="preserve"> </w:t>
      </w:r>
      <w:r>
        <w:t xml:space="preserve">Collaborate with suppliers to source materials with lower embodied carbon, especially for high-impact components like PCBs, batteries, and chipsets. Explore options for recycled content where feasible.</w:t>
      </w:r>
    </w:p>
    <w:p>
      <w:pPr>
        <w:numPr>
          <w:ilvl w:val="0"/>
          <w:numId w:val="1019"/>
        </w:numPr>
        <w:pStyle w:val="Compact"/>
      </w:pPr>
      <w:r>
        <w:rPr>
          <w:bCs/>
          <w:b/>
        </w:rPr>
        <w:t xml:space="preserve">Renewable Energy Transition:</w:t>
      </w:r>
      <w:r>
        <w:t xml:space="preserve"> </w:t>
      </w:r>
      <w:r>
        <w:t xml:space="preserve">Increase renewable energy procurement at manufacturing facilities beyond 70% to further reduce Scope 2 emissions, or explore opportunities for on-site renewable energy generation.</w:t>
      </w:r>
    </w:p>
    <w:p>
      <w:pPr>
        <w:numPr>
          <w:ilvl w:val="0"/>
          <w:numId w:val="1019"/>
        </w:numPr>
        <w:pStyle w:val="Compact"/>
      </w:pPr>
      <w:r>
        <w:rPr>
          <w:bCs/>
          <w:b/>
        </w:rPr>
        <w:t xml:space="preserve">Logistics Optimization:</w:t>
      </w:r>
      <w:r>
        <w:t xml:space="preserve"> </w:t>
      </w:r>
      <w:r>
        <w:t xml:space="preserve">Optimize transport routes, modes, and load factors to minimize emissions from both inbound and outbound logistics. Investigate greener shipping options.</w:t>
      </w:r>
    </w:p>
    <w:p>
      <w:pPr>
        <w:numPr>
          <w:ilvl w:val="0"/>
          <w:numId w:val="1019"/>
        </w:numPr>
        <w:pStyle w:val="Compact"/>
      </w:pPr>
      <w:r>
        <w:rPr>
          <w:bCs/>
          <w:b/>
        </w:rPr>
        <w:t xml:space="preserve">Enhanced Circularity:</w:t>
      </w:r>
      <w:r>
        <w:t xml:space="preserve"> </w:t>
      </w:r>
      <w:r>
        <w:t xml:space="preserve">Strengthen take-back programs and explore partnerships for advanced recycling technologies to increase the recyclability percentage above 60% and improve material recovery rates.</w:t>
      </w:r>
    </w:p>
    <w:p>
      <w:pPr>
        <w:numPr>
          <w:ilvl w:val="0"/>
          <w:numId w:val="1019"/>
        </w:numPr>
        <w:pStyle w:val="Compact"/>
      </w:pPr>
      <w:r>
        <w:rPr>
          <w:bCs/>
          <w:b/>
        </w:rPr>
        <w:t xml:space="preserve">Primary Data Collection:</w:t>
      </w:r>
      <w:r>
        <w:t xml:space="preserve"> </w:t>
      </w:r>
      <w:r>
        <w:t xml:space="preserve">Conduct a comprehensive primary data collection exercise across the value chain to replace assumed values and generic emission factors with company-specific data for increased accuracy and to achieve 95% Scope 3 coverage.</w:t>
      </w:r>
    </w:p>
    <w:p>
      <w:pPr>
        <w:numPr>
          <w:ilvl w:val="0"/>
          <w:numId w:val="1019"/>
        </w:numPr>
        <w:pStyle w:val="Compact"/>
      </w:pPr>
      <w:r>
        <w:rPr>
          <w:bCs/>
          <w:b/>
        </w:rPr>
        <w:t xml:space="preserve">LSR Deep Dive:</w:t>
      </w:r>
      <w:r>
        <w:t xml:space="preserve"> </w:t>
      </w:r>
      <w:r>
        <w:t xml:space="preserve">For any raw materials with significant land-use footprints, conduct a dedicated assessment following the Land Sector and Removals Standard once the full guidance is available and applicable.</w:t>
      </w:r>
    </w:p>
    <w:p>
      <w:r>
        <w:pict>
          <v:rect style="width:0;height:1.5pt" o:hralign="center" o:hrstd="t" o:hr="t"/>
        </w:pict>
      </w:r>
    </w:p>
    <w:p>
      <w:pPr>
        <w:pStyle w:val="FirstParagraph"/>
      </w:pPr>
      <w:r>
        <w:t xml:space="preserve">Confidential - Internal Use Only</w:t>
      </w:r>
    </w:p>
    <w:p>
      <w:pPr>
        <w:pStyle w:val="BodyText"/>
      </w:pPr>
      <w:r>
        <w:t xml:space="preserve">Report Generated by ywikiuidej, Senior Sustainability Consultant</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exxsxfpnwz</dc:title>
  <dc:creator/>
  <dc:description>Detailed Product Carbon Footprint (PCF) analysis report for product exxsxfpnwz by itjilxznuh, adhering to GHG Protocol and 2026 LSR updates.</dc:description>
  <dc:language>en</dc:language>
  <cp:keywords/>
  <dcterms:created xsi:type="dcterms:W3CDTF">2026-05-30T12:41:17Z</dcterms:created>
  <dcterms:modified xsi:type="dcterms:W3CDTF">2026-05-30T12:41:17Z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