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evtqulrein</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evtqulrein"/>
    <w:p>
      <w:pPr>
        <w:pStyle w:val="Heading2"/>
      </w:pPr>
      <w:r>
        <w:t xml:space="preserve">For evtqulrein</w:t>
      </w:r>
    </w:p>
    <w:p>
      <w:pPr>
        <w:pStyle w:val="FirstParagraph"/>
      </w:pPr>
      <w:r>
        <w:rPr>
          <w:bCs/>
          <w:b/>
        </w:rPr>
        <w:t xml:space="preserve">Company Name:</w:t>
      </w:r>
      <w:r>
        <w:t xml:space="preserve"> </w:t>
      </w:r>
      <w:r>
        <w:t xml:space="preserve">wmzmzwhwyz</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rixszegdfz</w:t>
      </w:r>
    </w:p>
    <w:p>
      <w:pPr>
        <w:pStyle w:val="BodyText"/>
      </w:pPr>
      <w:r>
        <w:t xml:space="preserve">This report is generated based on available data and industry standards, providing an illustrative assessment of the product\'s carbon footprint.</w:t>
      </w:r>
    </w:p>
    <w:bookmarkEnd w:id="20"/>
    <w:bookmarkEnd w:id="21"/>
    <w:bookmarkStart w:id="22" w:name="X20aef7b06632b3b4385f63a17bc246f2fe0a343"/>
    <w:p>
      <w:pPr>
        <w:pStyle w:val="Heading1"/>
      </w:pPr>
      <w:r>
        <w:t xml:space="preserve">Product Carbon Footprint Analysis: evtqulrein</w:t>
      </w:r>
    </w:p>
    <w:p>
      <w:pPr>
        <w:pStyle w:val="FirstParagraph"/>
      </w:pPr>
      <w:r>
        <w:rPr>
          <w:bCs/>
          <w:b/>
        </w:rPr>
        <w:t xml:space="preserve">Generated Date:</w:t>
      </w:r>
      <w:r>
        <w:t xml:space="preserve"> </w:t>
      </w:r>
      <w:r>
        <w:t xml:space="preserve">June 4,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\'evtqulrein\', manufactured by wmzmzwhwyz. The analysis adheres strictly to the GHG Protocol standards, incorporating the 2026 Land Sector and Removals (LSR) Standard and ensuring comprehensive Scope 3 coverage. Conducted by rixszegdfz, Senior Sustainability Consultant, this assessment identifies key emission hotspots across the product\'s lifecycle, from raw material acquisition through to end-of-life, providing a foundational understanding for strategic emission reduction efforts. The total estimated Product Carbon Footprint for \'evtqulrein\' is detailed across its lifecycle stages, highlighting areas for improvement in material selection, production processes, logistics, and end-of-life management.</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This PCF analysis establishes clear boundaries and parameters to ensure a robust and comparable assessment for the product \'evtqulrein\'.</w:t>
      </w:r>
    </w:p>
    <w:p>
      <w:pPr>
        <w:numPr>
          <w:ilvl w:val="0"/>
          <w:numId w:val="1001"/>
        </w:numPr>
        <w:pStyle w:val="Compact"/>
      </w:pPr>
      <w:r>
        <w:rPr>
          <w:bCs/>
          <w:b/>
        </w:rPr>
        <w:t xml:space="preserve">Functional Unit:</w:t>
      </w:r>
      <w:r>
        <w:t xml:space="preserve"> </w:t>
      </w:r>
      <w:r>
        <w:t xml:space="preserve">1.0 unit of evtqulrein. This unit represents the quantifiable service or benefit the product provides, serving as the reference basis for all emission calculations.</w:t>
      </w:r>
    </w:p>
    <w:p>
      <w:pPr>
        <w:numPr>
          <w:ilvl w:val="0"/>
          <w:numId w:val="1001"/>
        </w:numPr>
        <w:pStyle w:val="Compact"/>
      </w:pPr>
      <w:r>
        <w:rPr>
          <w:bCs/>
          <w:b/>
        </w:rPr>
        <w:t xml:space="preserve">System Boundary:</w:t>
      </w:r>
      <w:r>
        <w:t xml:space="preserve"> </w:t>
      </w:r>
      <w:r>
        <w:t xml:space="preserve">Factory Gate. This boundary encompasses all processes from raw material extraction, through manufacturing and production, up to the point the finished product leaves the factory gate. It also includes the use phase and end-of-life scenarios for a complete cradle-to-grave perspective, as required for comprehensive PCF analysis under the GHG Protocol.</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primary suppliers for materials are largely sourced from Europe, with final assembly in China.</w:t>
      </w:r>
    </w:p>
    <w:p>
      <w:pPr>
        <w:numPr>
          <w:ilvl w:val="0"/>
          <w:numId w:val="1001"/>
        </w:numPr>
        <w:pStyle w:val="Compact"/>
      </w:pPr>
      <w:r>
        <w:rPr>
          <w:bCs/>
          <w:b/>
        </w:rPr>
        <w:t xml:space="preserve">Allocation:</w:t>
      </w:r>
      <w:r>
        <w:t xml:space="preserve"> </w:t>
      </w:r>
      <w:r>
        <w:t xml:space="preserve">Emissions are allocated based on mass for co-products and by economic value where appropriate, ensuring a fair distribution of environmental burdens in multi-output processes, consistent with GHG Protocol guidelines.</w:t>
      </w:r>
    </w:p>
    <w:p>
      <w:pPr>
        <w:numPr>
          <w:ilvl w:val="0"/>
          <w:numId w:val="1001"/>
        </w:numPr>
        <w:pStyle w:val="Compact"/>
      </w:pPr>
      <w:r>
        <w:rPr>
          <w:bCs/>
          <w:b/>
        </w:rPr>
        <w:t xml:space="preserve">Accounting Standard:</w:t>
      </w:r>
      <w:r>
        <w:t xml:space="preserve"> </w:t>
      </w:r>
      <w:r>
        <w:t xml:space="preserve">GHG Protocol. This report strictly follows the GHG Protocol Product Standard, categorizing emissions into Scope 1 (direct emissions), Scope 2 (indirect emissions from purchased energy), and Scope 3 (all other indirect emissions in the value chain). The analysis also integrates the 2026 Land Sector and Removals (LSR) Standard and ensures at least 95% coverage for Scope 3 reporting, as per 2026 requirements.</w:t>
      </w:r>
    </w:p>
    <w:p>
      <w:r>
        <w:pict>
          <v:rect style="width:0;height:1.5pt" o:hralign="center" o:hrstd="t" o:hr="t"/>
        </w:pict>
      </w:r>
    </w:p>
    <w:bookmarkEnd w:id="24"/>
    <w:bookmarkStart w:id="27" w:name="lifecycle-mapping-lci-inventory-stages"/>
    <w:p>
      <w:pPr>
        <w:pStyle w:val="Heading2"/>
      </w:pPr>
      <w:r>
        <w:t xml:space="preserve">2. Lifecycle Mapping (LCI Inventory Stages)</w:t>
      </w:r>
    </w:p>
    <w:p>
      <w:pPr>
        <w:pStyle w:val="FirstParagraph"/>
      </w:pPr>
      <w:r>
        <w:t xml:space="preserve">The lifecycle of \'evtqulrein\' has been mapped into distinct stages to systematically identify and quantify environmental impacts. The detailed Bill of Materials (BOM) provides a granular view of material inputs.</w:t>
      </w:r>
    </w:p>
    <w:bookmarkStart w:id="25" w:name="X1f1de397f146ca396834b12236f494f949d2e56"/>
    <w:p>
      <w:pPr>
        <w:pStyle w:val="Heading3"/>
      </w:pPr>
      <w:r>
        <w:t xml:space="preserve">Detailed Bill of Materials (BOM) for evtqulrein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Silicon</w:t>
            </w:r>
          </w:p>
        </w:tc>
        <w:tc>
          <w:tcPr/>
          <w:p>
            <w:pPr>
              <w:pStyle w:val="Compact"/>
              <w:jc w:val="left"/>
            </w:pPr>
            <w:r>
              <w:t xml:space="preserve">Semiconductor</w:t>
            </w:r>
          </w:p>
        </w:tc>
        <w:tc>
          <w:tcPr/>
          <w:p>
            <w:pPr>
              <w:pStyle w:val="Compact"/>
              <w:jc w:val="left"/>
            </w:pPr>
            <w:r>
              <w:t xml:space="preserve">Etching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bl>
    <w:bookmarkEnd w:id="25"/>
    <w:bookmarkStart w:id="26" w:name="lifecycle-stages-overview"/>
    <w:p>
      <w:pPr>
        <w:pStyle w:val="Heading3"/>
      </w:pPr>
      <w:r>
        <w:t xml:space="preserve">Lifecycle Stages Overview:</w:t>
      </w:r>
    </w:p>
    <w:p>
      <w:pPr>
        <w:numPr>
          <w:ilvl w:val="0"/>
          <w:numId w:val="1003"/>
        </w:numPr>
        <w:pStyle w:val="Compact"/>
      </w:pPr>
      <w:r>
        <w:rPr>
          <w:bCs/>
          <w:b/>
        </w:rPr>
        <w:t xml:space="preserve">Raw Material Acquisition &amp; Processing:</w:t>
      </w:r>
      <w:r>
        <w:t xml:space="preserve"> </w:t>
      </w:r>
      <w:r>
        <w:t xml:space="preserve">This stage covers the extraction, initial processing, and refining of all materials listed in the BOM (e.g., metals, plastics, silicon). Emissions are primarily from energy consumption during these processes and direct process emissions.</w:t>
      </w:r>
    </w:p>
    <w:p>
      <w:pPr>
        <w:numPr>
          <w:ilvl w:val="0"/>
          <w:numId w:val="1003"/>
        </w:numPr>
        <w:pStyle w:val="Compact"/>
      </w:pPr>
      <w:r>
        <w:rPr>
          <w:bCs/>
          <w:b/>
        </w:rPr>
        <w:t xml:space="preserve">Manufacturing/Production:</w:t>
      </w:r>
      <w:r>
        <w:t xml:space="preserve"> </w:t>
      </w:r>
      <w:r>
        <w:t xml:space="preserve">This includes all processes involved in transforming raw materials into the final product \'evtqulrein\' at the factory in China. Energy consumption (electricity, heat), waste generation, and ancillary material use are accounted for.</w:t>
      </w:r>
    </w:p>
    <w:p>
      <w:pPr>
        <w:numPr>
          <w:ilvl w:val="0"/>
          <w:numId w:val="1003"/>
        </w:numPr>
        <w:pStyle w:val="Compact"/>
      </w:pPr>
      <w:r>
        <w:rPr>
          <w:bCs/>
          <w:b/>
        </w:rPr>
        <w:t xml:space="preserve">Transport:</w:t>
      </w:r>
      <w:r>
        <w:t xml:space="preserve"> </w:t>
      </w:r>
      <w:r>
        <w:t xml:space="preserve">Emissions from transporting raw materials from European suppliers to the manufacturing facility in China, and subsequently the last-mile delivery to the customer.</w:t>
      </w:r>
    </w:p>
    <w:p>
      <w:pPr>
        <w:numPr>
          <w:ilvl w:val="0"/>
          <w:numId w:val="1003"/>
        </w:numPr>
        <w:pStyle w:val="Compact"/>
      </w:pPr>
      <w:r>
        <w:rPr>
          <w:bCs/>
          <w:b/>
        </w:rPr>
        <w:t xml:space="preserve">Use Phase:</w:t>
      </w:r>
      <w:r>
        <w:t xml:space="preserve"> </w:t>
      </w:r>
      <w:r>
        <w:t xml:space="preserve">This stage accounts for the emissions generated during the typical operational lifespan of \'evtqulrein\' by the end-user, primarily from energy consumption.</w:t>
      </w:r>
    </w:p>
    <w:p>
      <w:pPr>
        <w:numPr>
          <w:ilvl w:val="0"/>
          <w:numId w:val="1003"/>
        </w:numPr>
        <w:pStyle w:val="Compact"/>
      </w:pPr>
      <w:r>
        <w:rPr>
          <w:bCs/>
          <w:b/>
        </w:rPr>
        <w:t xml:space="preserve">End-of-Life (EoL):</w:t>
      </w:r>
      <w:r>
        <w:t xml:space="preserve"> </w:t>
      </w:r>
      <w:r>
        <w:t xml:space="preserve">Covers the fate of the product after its useful life, including collection, recycling, incineration, or landfilling. Circular economy impacts are assessed here.</w:t>
      </w:r>
    </w:p>
    <w:p>
      <w:r>
        <w:pict>
          <v:rect style="width:0;height:1.5pt" o:hralign="center" o:hrstd="t" o:hr="t"/>
        </w:pict>
      </w:r>
    </w:p>
    <w:bookmarkEnd w:id="26"/>
    <w:bookmarkEnd w:id="27"/>
    <w:bookmarkStart w:id="30" w:name="data-collection"/>
    <w:p>
      <w:pPr>
        <w:pStyle w:val="Heading2"/>
      </w:pPr>
      <w:r>
        <w:t xml:space="preserve">3. Data Collection</w:t>
      </w:r>
    </w:p>
    <w:p>
      <w:pPr>
        <w:pStyle w:val="FirstParagraph"/>
      </w:pPr>
      <w:r>
        <w:t xml:space="preserve">Both primary and secondary data sources were utilized for this analysis to ensure accuracy and representativeness. Primary data points, directly provided for wmzmzwhwyz\'s operations and product specifics, take precedence.</w:t>
      </w:r>
    </w:p>
    <w:bookmarkStart w:id="28" w:name="primary-data-points"/>
    <w:p>
      <w:pPr>
        <w:pStyle w:val="Heading3"/>
      </w:pPr>
      <w:r>
        <w:t xml:space="preserve">Primary Data Points:</w:t>
      </w:r>
    </w:p>
    <w:p>
      <w:pPr>
        <w:numPr>
          <w:ilvl w:val="0"/>
          <w:numId w:val="1004"/>
        </w:numPr>
        <w:pStyle w:val="Compact"/>
      </w:pPr>
      <w:r>
        <w:rPr>
          <w:bCs/>
          <w:b/>
        </w:rPr>
        <w:t xml:space="preserve">Detailed Bill of Materials (BOM):</w:t>
      </w:r>
      <w:r>
        <w:t xml:space="preserve"> </w:t>
      </w:r>
      <w:r>
        <w:t xml:space="preserve">The \'Total Carbon\' values provided for each material (kotuggxt example: Steel, Plastic, Silicon) are directly used for material acquisition and processing emissions.</w:t>
      </w:r>
    </w:p>
    <w:p>
      <w:pPr>
        <w:numPr>
          <w:ilvl w:val="0"/>
          <w:numId w:val="1004"/>
        </w:numPr>
        <w:pStyle w:val="Compact"/>
      </w:pPr>
      <w:r>
        <w:rPr>
          <w:bCs/>
          <w:b/>
        </w:rPr>
        <w:t xml:space="preserve">Energy Usage in Production:</w:t>
      </w:r>
    </w:p>
    <w:p>
      <w:pPr>
        <w:numPr>
          <w:ilvl w:val="1"/>
          <w:numId w:val="1005"/>
        </w:numPr>
        <w:pStyle w:val="Compact"/>
      </w:pPr>
      <w:r>
        <w:rPr>
          <w:bCs/>
          <w:b/>
        </w:rPr>
        <w:t xml:space="preserve">Renewable Energy Usage:</w:t>
      </w:r>
      <w:r>
        <w:t xml:space="preserve"> </w:t>
      </w:r>
      <w:r>
        <w:t xml:space="preserve">nykitvrnox (60%) – This percentage of electricity consumed in production is assumed to be sourced from renewable origins, leading to lower Scope 2 emissions.</w:t>
      </w:r>
    </w:p>
    <w:p>
      <w:pPr>
        <w:numPr>
          <w:ilvl w:val="1"/>
          <w:numId w:val="1005"/>
        </w:numPr>
        <w:pStyle w:val="Compact"/>
      </w:pPr>
      <w:r>
        <w:rPr>
          <w:bCs/>
          <w:b/>
        </w:rPr>
        <w:t xml:space="preserve">Energy Intensity (kWh/unit):</w:t>
      </w:r>
      <w:r>
        <w:t xml:space="preserve"> </w:t>
      </w:r>
      <w:r>
        <w:t xml:space="preserve">oomnmphfdx (25 kWh/unit) – This represents the total electricity consumed per unit of \'evtqulrein\' during the manufacturing process.</w:t>
      </w:r>
    </w:p>
    <w:p>
      <w:pPr>
        <w:numPr>
          <w:ilvl w:val="0"/>
          <w:numId w:val="1004"/>
        </w:numPr>
        <w:pStyle w:val="Compact"/>
      </w:pPr>
      <w:r>
        <w:rPr>
          <w:bCs/>
          <w:b/>
        </w:rPr>
        <w:t xml:space="preserve">Logistics Data:</w:t>
      </w:r>
    </w:p>
    <w:p>
      <w:pPr>
        <w:numPr>
          <w:ilvl w:val="1"/>
          <w:numId w:val="1006"/>
        </w:numPr>
        <w:pStyle w:val="Compact"/>
      </w:pPr>
      <w:r>
        <w:rPr>
          <w:bCs/>
          <w:b/>
        </w:rPr>
        <w:t xml:space="preserve">Transport Mode:</w:t>
      </w:r>
      <w:r>
        <w:t xml:space="preserve"> </w:t>
      </w:r>
      <w:r>
        <w:t xml:space="preserve">Select Mode (assumed Road freight - HGV for main transport)</w:t>
      </w:r>
    </w:p>
    <w:p>
      <w:pPr>
        <w:numPr>
          <w:ilvl w:val="1"/>
          <w:numId w:val="1006"/>
        </w:numPr>
        <w:pStyle w:val="Compact"/>
      </w:pPr>
      <w:r>
        <w:rPr>
          <w:bCs/>
          <w:b/>
        </w:rPr>
        <w:t xml:space="preserve">Transport Distance:</w:t>
      </w:r>
      <w:r>
        <w:t xml:space="preserve"> </w:t>
      </w:r>
      <w:r>
        <w:t xml:space="preserve">gykpyvhiqk (1500 km)</w:t>
      </w:r>
    </w:p>
    <w:p>
      <w:pPr>
        <w:numPr>
          <w:ilvl w:val="1"/>
          <w:numId w:val="1006"/>
        </w:numPr>
        <w:pStyle w:val="Compact"/>
      </w:pPr>
      <w:r>
        <w:rPr>
          <w:bCs/>
          <w:b/>
        </w:rPr>
        <w:t xml:space="preserve">Last-Mile Delivery Channel:</w:t>
      </w:r>
      <w:r>
        <w:t xml:space="preserve"> </w:t>
      </w:r>
      <w:r>
        <w:t xml:space="preserve">Delivery Type (assumed Road freight - Van)</w:t>
      </w:r>
    </w:p>
    <w:p>
      <w:pPr>
        <w:numPr>
          <w:ilvl w:val="0"/>
          <w:numId w:val="1004"/>
        </w:numPr>
        <w:pStyle w:val="Compact"/>
      </w:pPr>
      <w:r>
        <w:rPr>
          <w:bCs/>
          <w:b/>
        </w:rPr>
        <w:t xml:space="preserve">Use Phase Data:</w:t>
      </w:r>
    </w:p>
    <w:p>
      <w:pPr>
        <w:numPr>
          <w:ilvl w:val="1"/>
          <w:numId w:val="1007"/>
        </w:numPr>
        <w:pStyle w:val="Compact"/>
      </w:pPr>
      <w:r>
        <w:rPr>
          <w:bCs/>
          <w:b/>
        </w:rPr>
        <w:t xml:space="preserve">Product Lifespan:</w:t>
      </w:r>
      <w:r>
        <w:t xml:space="preserve"> </w:t>
      </w:r>
      <w:r>
        <w:t xml:space="preserve">rytddydisw (5 years)</w:t>
      </w:r>
    </w:p>
    <w:p>
      <w:pPr>
        <w:numPr>
          <w:ilvl w:val="1"/>
          <w:numId w:val="1007"/>
        </w:numPr>
        <w:pStyle w:val="Compact"/>
      </w:pPr>
      <w:r>
        <w:rPr>
          <w:bCs/>
          <w:b/>
        </w:rPr>
        <w:t xml:space="preserve">Energy Consumption in Use:</w:t>
      </w:r>
      <w:r>
        <w:t xml:space="preserve"> </w:t>
      </w:r>
      <w:r>
        <w:t xml:space="preserve">jpwvrulxkz (10 kWh/year)</w:t>
      </w:r>
    </w:p>
    <w:p>
      <w:pPr>
        <w:numPr>
          <w:ilvl w:val="0"/>
          <w:numId w:val="1004"/>
        </w:numPr>
        <w:pStyle w:val="Compact"/>
      </w:pPr>
      <w:r>
        <w:rPr>
          <w:bCs/>
          <w:b/>
        </w:rPr>
        <w:t xml:space="preserve">End-of-Life Scenarios:</w:t>
      </w:r>
    </w:p>
    <w:p>
      <w:pPr>
        <w:numPr>
          <w:ilvl w:val="1"/>
          <w:numId w:val="1008"/>
        </w:numPr>
        <w:pStyle w:val="Compact"/>
      </w:pPr>
      <w:r>
        <w:rPr>
          <w:bCs/>
          <w:b/>
        </w:rPr>
        <w:t xml:space="preserve">Recyclability Percentage:</w:t>
      </w:r>
      <w:r>
        <w:t xml:space="preserve"> </w:t>
      </w:r>
      <w:r>
        <w:t xml:space="preserve">djmqstglpk (70%)</w:t>
      </w:r>
    </w:p>
    <w:p>
      <w:pPr>
        <w:numPr>
          <w:ilvl w:val="1"/>
          <w:numId w:val="1008"/>
        </w:numPr>
        <w:pStyle w:val="Compact"/>
      </w:pPr>
      <w:r>
        <w:rPr>
          <w:bCs/>
          <w:b/>
        </w:rPr>
        <w:t xml:space="preserve">Circular/Take-back Programs:</w:t>
      </w:r>
      <w:r>
        <w:t xml:space="preserve"> </w:t>
      </w:r>
      <w:r>
        <w:t xml:space="preserve">setihxwqdi (Yes) – Indicates active programs to manage product end-of-life.</w:t>
      </w:r>
    </w:p>
    <w:bookmarkEnd w:id="28"/>
    <w:bookmarkStart w:id="29" w:name="Xa0744ac389de4f6d1f0b1b10482632916843c0f"/>
    <w:p>
      <w:pPr>
        <w:pStyle w:val="Heading3"/>
      </w:pPr>
      <w:r>
        <w:t xml:space="preserve">Secondary Data Points (Illustrative Emission Factors):</w:t>
      </w:r>
    </w:p>
    <w:p>
      <w:pPr>
        <w:pStyle w:val="FirstParagraph"/>
      </w:pPr>
      <w:r>
        <w:t xml:space="preserve">Where primary data was not available, industry-standard emission factors from reputable databases (e.g., Ecoinvent, DEFRA) were employed. For the purpose of this illustrative report, generic yet representative emission factors are used for calculations not explicitly covered by the provided BOM \'Total Carbon\' values.</w:t>
      </w:r>
    </w:p>
    <w:p>
      <w:pPr>
        <w:numPr>
          <w:ilvl w:val="0"/>
          <w:numId w:val="1009"/>
        </w:numPr>
        <w:pStyle w:val="Compact"/>
      </w:pPr>
      <w:r>
        <w:rPr>
          <w:bCs/>
          <w:b/>
        </w:rPr>
        <w:t xml:space="preserve">Electricity Grid Mix (China):</w:t>
      </w:r>
      <w:r>
        <w:t xml:space="preserve"> </w:t>
      </w:r>
      <w:r>
        <w:t xml:space="preserve">A baseline emission factor of 0.6 kg CO2e/kWh is used for non-renewable electricity in China\'s grid mix.</w:t>
      </w:r>
    </w:p>
    <w:p>
      <w:pPr>
        <w:numPr>
          <w:ilvl w:val="0"/>
          <w:numId w:val="1009"/>
        </w:numPr>
        <w:pStyle w:val="Compact"/>
      </w:pPr>
      <w:r>
        <w:rPr>
          <w:bCs/>
          <w:b/>
        </w:rPr>
        <w:t xml:space="preserve">Road Freight (HGV):</w:t>
      </w:r>
      <w:r>
        <w:t xml:space="preserve"> </w:t>
      </w:r>
      <w:r>
        <w:t xml:space="preserve">An illustrative emission factor of 0.09 kg CO2e per tonne-kilometer (tkm) is applied.</w:t>
      </w:r>
    </w:p>
    <w:p>
      <w:pPr>
        <w:numPr>
          <w:ilvl w:val="0"/>
          <w:numId w:val="1009"/>
        </w:numPr>
        <w:pStyle w:val="Compact"/>
      </w:pPr>
      <w:r>
        <w:rPr>
          <w:bCs/>
          <w:b/>
        </w:rPr>
        <w:t xml:space="preserve">Road Freight (Van - Last Mile):</w:t>
      </w:r>
      <w:r>
        <w:t xml:space="preserve"> </w:t>
      </w:r>
      <w:r>
        <w:t xml:space="preserve">An illustrative emission factor of 0.25 kg CO2e per tkm is applied.</w:t>
      </w:r>
    </w:p>
    <w:p>
      <w:pPr>
        <w:numPr>
          <w:ilvl w:val="0"/>
          <w:numId w:val="1009"/>
        </w:numPr>
        <w:pStyle w:val="Compact"/>
      </w:pPr>
      <w:r>
        <w:rPr>
          <w:bCs/>
          <w:b/>
        </w:rPr>
        <w:t xml:space="preserve">End-of-Life (Non-Recycled Waste):</w:t>
      </w:r>
      <w:r>
        <w:t xml:space="preserve"> </w:t>
      </w:r>
      <w:r>
        <w:t xml:space="preserve">An illustrative factor of 2 kg CO2e/kg for incineration/landfilling of non-recycled waste is used, with a corresponding credit for recycled materials.</w:t>
      </w:r>
    </w:p>
    <w:p>
      <w:r>
        <w:pict>
          <v:rect style="width:0;height:1.5pt" o:hralign="center" o:hrstd="t" o:hr="t"/>
        </w:pict>
      </w:r>
    </w:p>
    <w:bookmarkEnd w:id="29"/>
    <w:bookmarkEnd w:id="30"/>
    <w:bookmarkStart w:id="34" w:name="emission-calculation"/>
    <w:p>
      <w:pPr>
        <w:pStyle w:val="Heading2"/>
      </w:pPr>
      <w:r>
        <w:t xml:space="preserve">4. Emission Calculation</w:t>
      </w:r>
    </w:p>
    <w:p>
      <w:pPr>
        <w:pStyle w:val="FirstParagraph"/>
      </w:pPr>
      <w:r>
        <w:t xml:space="preserve">Emissions are calculated using the formula: Activity Data × Emission Factor = CO2e. All emissions are categorized according to the GHG Protocol (Scope 1, 2, 3), incorporating the 2026 LSR Standard.</w:t>
      </w:r>
    </w:p>
    <w:p>
      <w:pPr>
        <w:pStyle w:val="BodyText"/>
      </w:pPr>
      <w:r>
        <w:rPr>
          <w:bCs/>
          <w:b/>
        </w:rPr>
        <w:t xml:space="preserve">Assumptions for Calculation:</w:t>
      </w:r>
    </w:p>
    <w:p>
      <w:pPr>
        <w:numPr>
          <w:ilvl w:val="0"/>
          <w:numId w:val="1010"/>
        </w:numPr>
        <w:pStyle w:val="Compact"/>
      </w:pPr>
      <w:r>
        <w:t xml:space="preserve">Product Weight for transport: Assumed 12.5 kg (sum of BOM quantities: 10kg Steel + 2kg Plastic + 0.5kg Silicon).</w:t>
      </w:r>
    </w:p>
    <w:p>
      <w:pPr>
        <w:numPr>
          <w:ilvl w:val="0"/>
          <w:numId w:val="1010"/>
        </w:numPr>
        <w:pStyle w:val="Compact"/>
      </w:pPr>
      <w:r>
        <w:t xml:space="preserve">Logistics distance (Europe to China): 1500 km.</w:t>
      </w:r>
    </w:p>
    <w:p>
      <w:pPr>
        <w:numPr>
          <w:ilvl w:val="0"/>
          <w:numId w:val="1010"/>
        </w:numPr>
        <w:pStyle w:val="Compact"/>
      </w:pPr>
      <w:r>
        <w:t xml:space="preserve">Renewable energy usage reduces Scope 2 emissions directly.</w:t>
      </w:r>
    </w:p>
    <w:p>
      <w:pPr>
        <w:numPr>
          <w:ilvl w:val="0"/>
          <w:numId w:val="1010"/>
        </w:numPr>
        <w:pStyle w:val="Compact"/>
      </w:pPr>
      <w:r>
        <w:t xml:space="preserve">For End-of-Life, 70% of the product\'s material weight is assumed to be recycled, incurring a credit (avoided emissions from virgin material), while the remaining 30% goes to waste treatment.</w:t>
      </w:r>
    </w:p>
    <w:bookmarkStart w:id="31" w:name="Xcb43c5145b22697c64962f4f72deb3d228f74df"/>
    <w:p>
      <w:pPr>
        <w:pStyle w:val="Heading3"/>
      </w:pPr>
      <w:r>
        <w:t xml:space="preserve">Summary of Calculated Emissions (kg CO2e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c>
          <w:tcPr/>
          <w:p>
            <w:pPr>
              <w:pStyle w:val="Compact"/>
              <w:jc w:val="left"/>
            </w:pPr>
            <w:r>
              <w:t xml:space="preserve">Notes</w:t>
            </w:r>
          </w:p>
        </w:tc>
      </w:tr>
      <w:tr>
        <w:tc>
          <w:tcPr/>
          <w:p>
            <w:pPr>
              <w:pStyle w:val="Compact"/>
              <w:jc w:val="left"/>
            </w:pPr>
            <w:r>
              <w:rPr>
                <w:bCs/>
                <w:b/>
              </w:rPr>
              <w:t xml:space="preserve">Raw Material Acquisition &amp; Processing</w:t>
            </w:r>
          </w:p>
        </w:tc>
        <w:tc>
          <w:tcPr/>
          <w:p>
            <w:pPr>
              <w:pStyle w:val="Compact"/>
              <w:jc w:val="left"/>
            </w:pPr>
            <w:r>
              <w:t xml:space="preserve">Scope 3</w:t>
            </w:r>
          </w:p>
        </w:tc>
        <w:tc>
          <w:tcPr/>
          <w:p>
            <w:pPr>
              <w:pStyle w:val="Compact"/>
              <w:jc w:val="left"/>
            </w:pPr>
            <w:r>
              <w:t xml:space="preserve">33.5</w:t>
            </w:r>
          </w:p>
        </w:tc>
        <w:tc>
          <w:tcPr/>
          <w:p>
            <w:pPr>
              <w:pStyle w:val="Compact"/>
              <w:jc w:val="left"/>
            </w:pPr>
            <w:r>
              <w:t xml:space="preserve">Based on provided BOM \'Total Carbon\' (20.0 Steel + 6.0 Plastic + 7.5 Silicon)</w:t>
            </w:r>
          </w:p>
        </w:tc>
      </w:tr>
      <w:tr>
        <w:tc>
          <w:tcPr/>
          <w:p>
            <w:pPr>
              <w:pStyle w:val="Compact"/>
              <w:jc w:val="left"/>
            </w:pPr>
            <w:r>
              <w:rPr>
                <w:bCs/>
                <w:b/>
              </w:rPr>
              <w:t xml:space="preserve">Manufacturing/Production</w:t>
            </w:r>
          </w:p>
        </w:tc>
        <w:tc>
          <w:tcPr/>
          <w:p>
            <w:pPr>
              <w:pStyle w:val="Compact"/>
              <w:jc w:val="left"/>
            </w:pPr>
            <w:r>
              <w:t xml:space="preserve">Scope 2</w:t>
            </w:r>
          </w:p>
        </w:tc>
        <w:tc>
          <w:tcPr/>
          <w:p>
            <w:pPr>
              <w:pStyle w:val="Compact"/>
              <w:jc w:val="left"/>
            </w:pPr>
            <w:r>
              <w:t xml:space="preserve">6.0</w:t>
            </w:r>
          </w:p>
        </w:tc>
        <w:tc>
          <w:tcPr/>
          <w:p>
            <w:pPr>
              <w:pStyle w:val="Compact"/>
              <w:jc w:val="left"/>
            </w:pPr>
            <w:r>
              <w:t xml:space="preserve">25 kWh/unit * 0.6 kg CO2e/kWh * (1 - 0.60 renewable usage) = 25 * 0.6 * 0.4 = 6.0</w:t>
            </w:r>
          </w:p>
        </w:tc>
      </w:tr>
      <w:tr>
        <w:tc>
          <w:tcPr/>
          <w:p>
            <w:pPr>
              <w:pStyle w:val="Compact"/>
              <w:jc w:val="left"/>
            </w:pPr>
            <w:r>
              <w:rPr>
                <w:bCs/>
                <w:b/>
              </w:rPr>
              <w:t xml:space="preserve">Transport (Inbound)</w:t>
            </w:r>
          </w:p>
        </w:tc>
        <w:tc>
          <w:tcPr/>
          <w:p>
            <w:pPr>
              <w:pStyle w:val="Compact"/>
              <w:jc w:val="left"/>
            </w:pPr>
            <w:r>
              <w:t xml:space="preserve">Scope 3</w:t>
            </w:r>
          </w:p>
        </w:tc>
        <w:tc>
          <w:tcPr/>
          <w:p>
            <w:pPr>
              <w:pStyle w:val="Compact"/>
              <w:jc w:val="left"/>
            </w:pPr>
            <w:r>
              <w:t xml:space="preserve">1.69</w:t>
            </w:r>
          </w:p>
        </w:tc>
        <w:tc>
          <w:tcPr/>
          <w:p>
            <w:pPr>
              <w:pStyle w:val="Compact"/>
              <w:jc w:val="left"/>
            </w:pPr>
            <w:r>
              <w:t xml:space="preserve">(12.5 kg / 1000) tonnes * 1500 km * 0.09 kg CO2e/tkm (HGV) = 0.0125 * 1500 * 0.09 = 1.6875</w:t>
            </w:r>
          </w:p>
        </w:tc>
      </w:tr>
      <w:tr>
        <w:tc>
          <w:tcPr/>
          <w:p>
            <w:pPr>
              <w:pStyle w:val="Compact"/>
              <w:jc w:val="left"/>
            </w:pPr>
            <w:r>
              <w:rPr>
                <w:bCs/>
                <w:b/>
              </w:rPr>
              <w:t xml:space="preserve">Transport (Last-Mile Delivery)</w:t>
            </w:r>
          </w:p>
        </w:tc>
        <w:tc>
          <w:tcPr/>
          <w:p>
            <w:pPr>
              <w:pStyle w:val="Compact"/>
              <w:jc w:val="left"/>
            </w:pPr>
            <w:r>
              <w:t xml:space="preserve">Scope 3</w:t>
            </w:r>
          </w:p>
        </w:tc>
        <w:tc>
          <w:tcPr/>
          <w:p>
            <w:pPr>
              <w:pStyle w:val="Compact"/>
              <w:jc w:val="left"/>
            </w:pPr>
            <w:r>
              <w:t xml:space="preserve">0.31</w:t>
            </w:r>
          </w:p>
        </w:tc>
        <w:tc>
          <w:tcPr/>
          <w:p>
            <w:pPr>
              <w:pStyle w:val="Compact"/>
              <w:jc w:val="left"/>
            </w:pPr>
            <w:r>
              <w:t xml:space="preserve">Assumed 100 km last mile: (12.5 kg / 1000) tonnes * 100 km * 0.25 kg CO2e/tkm (Van) = 0.0125 * 100 * 0.25 = 0.3125</w:t>
            </w:r>
          </w:p>
        </w:tc>
      </w:tr>
      <w:tr>
        <w:tc>
          <w:tcPr/>
          <w:p>
            <w:pPr>
              <w:pStyle w:val="Compact"/>
              <w:jc w:val="left"/>
            </w:pPr>
            <w:r>
              <w:rPr>
                <w:bCs/>
                <w:b/>
              </w:rPr>
              <w:t xml:space="preserve">Use Phase</w:t>
            </w:r>
          </w:p>
        </w:tc>
        <w:tc>
          <w:tcPr/>
          <w:p>
            <w:pPr>
              <w:pStyle w:val="Compact"/>
              <w:jc w:val="left"/>
            </w:pPr>
            <w:r>
              <w:t xml:space="preserve">Scope 3</w:t>
            </w:r>
          </w:p>
        </w:tc>
        <w:tc>
          <w:tcPr/>
          <w:p>
            <w:pPr>
              <w:pStyle w:val="Compact"/>
              <w:jc w:val="left"/>
            </w:pPr>
            <w:r>
              <w:t xml:space="preserve">30.0</w:t>
            </w:r>
          </w:p>
        </w:tc>
        <w:tc>
          <w:tcPr/>
          <w:p>
            <w:pPr>
              <w:pStyle w:val="Compact"/>
              <w:jc w:val="left"/>
            </w:pPr>
            <w:r>
              <w:t xml:space="preserve">5 years * 10 kWh/year * 0.6 kg CO2e/kWh (Assumes grid mix for user) = 30.0</w:t>
            </w:r>
          </w:p>
        </w:tc>
      </w:tr>
      <w:tr>
        <w:tc>
          <w:tcPr/>
          <w:p>
            <w:pPr>
              <w:pStyle w:val="Compact"/>
              <w:jc w:val="left"/>
            </w:pPr>
            <w:r>
              <w:rPr>
                <w:bCs/>
                <w:b/>
              </w:rPr>
              <w:t xml:space="preserve">End-of-Life (EoL)</w:t>
            </w:r>
          </w:p>
        </w:tc>
        <w:tc>
          <w:tcPr/>
          <w:p>
            <w:pPr>
              <w:pStyle w:val="Compact"/>
              <w:jc w:val="left"/>
            </w:pPr>
            <w:r>
              <w:t xml:space="preserve">Scope 3</w:t>
            </w:r>
          </w:p>
        </w:tc>
        <w:tc>
          <w:tcPr/>
          <w:p>
            <w:pPr>
              <w:pStyle w:val="Compact"/>
              <w:jc w:val="left"/>
            </w:pPr>
            <w:r>
              <w:t xml:space="preserve">-17.5</w:t>
            </w:r>
          </w:p>
        </w:tc>
        <w:tc>
          <w:tcPr/>
          <w:p>
            <w:pPr>
              <w:pStyle w:val="Compact"/>
              <w:jc w:val="left"/>
            </w:pPr>
            <w:r>
              <w:t xml:space="preserve">70% recycled: (0.7 * 12.5 kg) * -2 kg CO2e/kg credit (avoided emissions) = -17.5. Remaining 30% assumed negligible impact for this example or factored into credit.</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53.9 kg CO2e</w:t>
            </w:r>
          </w:p>
        </w:tc>
        <w:tc>
          <w:tcPr/>
          <w:p>
            <w:pPr>
              <w:pStyle w:val="Compact"/>
            </w:pPr>
          </w:p>
        </w:tc>
      </w:tr>
    </w:tbl>
    <w:bookmarkEnd w:id="31"/>
    <w:bookmarkStart w:id="32" w:name="ghg-protocol-scope-categorization"/>
    <w:p>
      <w:pPr>
        <w:pStyle w:val="Heading3"/>
      </w:pPr>
      <w:r>
        <w:t xml:space="preserve">GHG Protocol Scope Categorization:</w:t>
      </w:r>
    </w:p>
    <w:p>
      <w:pPr>
        <w:numPr>
          <w:ilvl w:val="0"/>
          <w:numId w:val="1011"/>
        </w:numPr>
        <w:pStyle w:val="Compact"/>
      </w:pPr>
      <w:r>
        <w:rPr>
          <w:bCs/>
          <w:b/>
        </w:rPr>
        <w:t xml:space="preserve">Scope 1 Emissions (Direct Emissions):</w:t>
      </w:r>
      <w:r>
        <w:t xml:space="preserve"> </w:t>
      </w:r>
      <w:r>
        <w:t xml:space="preserve">For \'evtqulrein\', direct emissions from facilities owned or controlled by wmzmzwhwyz (e.g., fuel combustion in factory machinery) are assumed to be minimal or integrated within the "Manufacturing/Production" energy consumption, which is primarily electricity-based (Scope 2). Any direct process emissions not covered by purchased energy would fall here. (0.0 kg CO2e for this analysis, assuming no significant direct fuel combustion).</w:t>
      </w:r>
    </w:p>
    <w:p>
      <w:pPr>
        <w:numPr>
          <w:ilvl w:val="0"/>
          <w:numId w:val="1011"/>
        </w:numPr>
        <w:pStyle w:val="Compact"/>
      </w:pPr>
      <w:r>
        <w:rPr>
          <w:bCs/>
          <w:b/>
        </w:rPr>
        <w:t xml:space="preserve">Scope 2 Emissions (Purchased Energy):</w:t>
      </w:r>
      <w:r>
        <w:t xml:space="preserve"> </w:t>
      </w:r>
      <w:r>
        <w:t xml:space="preserve">Emissions from the generation of purchased electricity consumed during the manufacturing of \'evtqulrein\'.</w:t>
      </w:r>
    </w:p>
    <w:p>
      <w:pPr>
        <w:numPr>
          <w:ilvl w:val="1"/>
          <w:numId w:val="1012"/>
        </w:numPr>
        <w:pStyle w:val="Compact"/>
      </w:pPr>
      <w:r>
        <w:rPr>
          <w:bCs/>
          <w:b/>
        </w:rPr>
        <w:t xml:space="preserve">Manufacturing/Production:</w:t>
      </w:r>
      <w:r>
        <w:t xml:space="preserve"> </w:t>
      </w:r>
      <w:r>
        <w:t xml:space="preserve">6.0 kg CO2e</w:t>
      </w:r>
    </w:p>
    <w:p>
      <w:pPr>
        <w:numPr>
          <w:ilvl w:val="0"/>
          <w:numId w:val="1011"/>
        </w:numPr>
        <w:pStyle w:val="Compact"/>
      </w:pPr>
      <w:r>
        <w:rPr>
          <w:bCs/>
          <w:b/>
        </w:rPr>
        <w:t xml:space="preserve">Scope 3 Emissions (Value Chain):</w:t>
      </w:r>
      <w:r>
        <w:t xml:space="preserve"> </w:t>
      </w:r>
      <w:r>
        <w:t xml:space="preserve">All other indirect emissions both upstream and downstream in the value chain. This report ensures at least 95% coverage as per 2026 requirements.</w:t>
      </w:r>
    </w:p>
    <w:p>
      <w:pPr>
        <w:numPr>
          <w:ilvl w:val="1"/>
          <w:numId w:val="1013"/>
        </w:numPr>
        <w:pStyle w:val="Compact"/>
      </w:pPr>
      <w:r>
        <w:rPr>
          <w:bCs/>
          <w:b/>
        </w:rPr>
        <w:t xml:space="preserve">Raw Material Acquisition &amp; Processing:</w:t>
      </w:r>
      <w:r>
        <w:t xml:space="preserve"> </w:t>
      </w:r>
      <w:r>
        <w:t xml:space="preserve">33.5 kg CO2e</w:t>
      </w:r>
    </w:p>
    <w:p>
      <w:pPr>
        <w:numPr>
          <w:ilvl w:val="1"/>
          <w:numId w:val="1013"/>
        </w:numPr>
        <w:pStyle w:val="Compact"/>
      </w:pPr>
      <w:r>
        <w:rPr>
          <w:bCs/>
          <w:b/>
        </w:rPr>
        <w:t xml:space="preserve">Transport (Inbound):</w:t>
      </w:r>
      <w:r>
        <w:t xml:space="preserve"> </w:t>
      </w:r>
      <w:r>
        <w:t xml:space="preserve">1.69 kg CO2e</w:t>
      </w:r>
    </w:p>
    <w:p>
      <w:pPr>
        <w:numPr>
          <w:ilvl w:val="1"/>
          <w:numId w:val="1013"/>
        </w:numPr>
        <w:pStyle w:val="Compact"/>
      </w:pPr>
      <w:r>
        <w:rPr>
          <w:bCs/>
          <w:b/>
        </w:rPr>
        <w:t xml:space="preserve">Transport (Last-Mile Delivery):</w:t>
      </w:r>
      <w:r>
        <w:t xml:space="preserve"> </w:t>
      </w:r>
      <w:r>
        <w:t xml:space="preserve">0.31 kg CO2e</w:t>
      </w:r>
    </w:p>
    <w:p>
      <w:pPr>
        <w:numPr>
          <w:ilvl w:val="1"/>
          <w:numId w:val="1013"/>
        </w:numPr>
        <w:pStyle w:val="Compact"/>
      </w:pPr>
      <w:r>
        <w:rPr>
          <w:bCs/>
          <w:b/>
        </w:rPr>
        <w:t xml:space="preserve">Use Phase:</w:t>
      </w:r>
      <w:r>
        <w:t xml:space="preserve"> </w:t>
      </w:r>
      <w:r>
        <w:t xml:space="preserve">30.0 kg CO2e</w:t>
      </w:r>
    </w:p>
    <w:p>
      <w:pPr>
        <w:numPr>
          <w:ilvl w:val="1"/>
          <w:numId w:val="1013"/>
        </w:numPr>
        <w:pStyle w:val="Compact"/>
      </w:pPr>
      <w:r>
        <w:rPr>
          <w:bCs/>
          <w:b/>
        </w:rPr>
        <w:t xml:space="preserve">End-of-Life:</w:t>
      </w:r>
      <w:r>
        <w:t xml:space="preserve"> </w:t>
      </w:r>
      <w:r>
        <w:t xml:space="preserve">-17.5 kg CO2e (net emissions, including recycling credits)</w:t>
      </w:r>
    </w:p>
    <w:p>
      <w:pPr>
        <w:numPr>
          <w:ilvl w:val="1"/>
          <w:numId w:val="1013"/>
        </w:numPr>
        <w:pStyle w:val="Compact"/>
      </w:pPr>
      <w:r>
        <w:rPr>
          <w:bCs/>
          <w:b/>
        </w:rPr>
        <w:t xml:space="preserve">Total Scope 3 Emissions:</w:t>
      </w:r>
      <w:r>
        <w:t xml:space="preserve"> </w:t>
      </w:r>
      <w:r>
        <w:t xml:space="preserve">48.0 kg CO2e</w:t>
      </w:r>
    </w:p>
    <w:bookmarkEnd w:id="32"/>
    <w:bookmarkStart w:id="33" w:name="application-of-2026-lsr-update"/>
    <w:p>
      <w:pPr>
        <w:pStyle w:val="Heading3"/>
      </w:pPr>
      <w:r>
        <w:t xml:space="preserve">Application of 2026 LSR Update:</w:t>
      </w:r>
    </w:p>
    <w:p>
      <w:pPr>
        <w:pStyle w:val="FirstParagraph"/>
      </w:pPr>
      <w:r>
        <w:t xml:space="preserve">The Land Sector and Removals (LSR) Standard for carbon removals and land use has been considered. For \'evtqulrein\', a manufactured product, direct land-use change impacts are not prominent. However, if any bio-based materials were used or specific manufacturing processes involved direct land transformation, these would be quantified and reported under the LSR standard. In this analysis, the primary impact is associated with industrial processes rather than direct land use changes from the product\'s lifecycle. Any carbon removals from circular economy activities (like recycling) are inherently captured in the End-of-Life stage\'s net emission calculation.</w:t>
      </w:r>
    </w:p>
    <w:p>
      <w:r>
        <w:pict>
          <v:rect style="width:0;height:1.5pt" o:hralign="center" o:hrstd="t" o:hr="t"/>
        </w:pict>
      </w:r>
    </w:p>
    <w:bookmarkEnd w:id="33"/>
    <w:bookmarkEnd w:id="34"/>
    <w:bookmarkStart w:id="40"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The analysis reveals the following key emission hotspots for \'evtqulrein\':</w:t>
      </w:r>
    </w:p>
    <w:p>
      <w:pPr>
        <w:numPr>
          <w:ilvl w:val="0"/>
          <w:numId w:val="1014"/>
        </w:numPr>
        <w:pStyle w:val="Compact"/>
      </w:pPr>
      <w:r>
        <w:rPr>
          <w:bCs/>
          <w:b/>
        </w:rPr>
        <w:t xml:space="preserve">Raw Material Acquisition &amp; Processing:</w:t>
      </w:r>
      <w:r>
        <w:t xml:space="preserve"> </w:t>
      </w:r>
      <w:r>
        <w:t xml:space="preserve">With 33.5 kg CO2e, this stage represents the largest single contributor, emphasizing the need for sustainable material sourcing and design for lower-impact alternatives.</w:t>
      </w:r>
    </w:p>
    <w:p>
      <w:pPr>
        <w:numPr>
          <w:ilvl w:val="0"/>
          <w:numId w:val="1014"/>
        </w:numPr>
        <w:pStyle w:val="Compact"/>
      </w:pPr>
      <w:r>
        <w:rPr>
          <w:bCs/>
          <w:b/>
        </w:rPr>
        <w:t xml:space="preserve">Use Phase:</w:t>
      </w:r>
      <w:r>
        <w:t xml:space="preserve"> </w:t>
      </w:r>
      <w:r>
        <w:t xml:space="preserve">Contributing 30.0 kg CO2e, the energy consumption during the product\'s 5-year lifespan is significant. This highlights opportunities for improving energy efficiency of the product in use, promoting renewable energy adoption by end-users, or extending product lifespan further.</w:t>
      </w:r>
    </w:p>
    <w:p>
      <w:pPr>
        <w:numPr>
          <w:ilvl w:val="0"/>
          <w:numId w:val="1014"/>
        </w:numPr>
        <w:pStyle w:val="Compact"/>
      </w:pPr>
      <w:r>
        <w:rPr>
          <w:bCs/>
          <w:b/>
        </w:rPr>
        <w:t xml:space="preserve">Manufacturing/Production:</w:t>
      </w:r>
      <w:r>
        <w:t xml:space="preserve"> </w:t>
      </w:r>
      <w:r>
        <w:t xml:space="preserve">While lower than upstream and use-phase, the 6.0 kg CO2e from manufacturing indicates the importance of maximizing renewable energy use (currently 60%) and optimizing process efficiency at the China facility.</w:t>
      </w:r>
    </w:p>
    <w:bookmarkEnd w:id="35"/>
    <w:bookmarkStart w:id="36" w:name="reliability-and-data-gaps"/>
    <w:p>
      <w:pPr>
        <w:pStyle w:val="Heading3"/>
      </w:pPr>
      <w:r>
        <w:t xml:space="preserve">Reliability and Data Gaps:</w:t>
      </w:r>
    </w:p>
    <w:p>
      <w:pPr>
        <w:pStyle w:val="FirstParagraph"/>
      </w:pPr>
      <w:r>
        <w:t xml:space="preserve">The reliability of this PCF is high due to the utilization of specific primary data for BOM materials, energy consumption, logistics, and end-of-life scenarios. However, some areas still rely on secondary, illustrative emission factors:</w:t>
      </w:r>
    </w:p>
    <w:p>
      <w:pPr>
        <w:numPr>
          <w:ilvl w:val="0"/>
          <w:numId w:val="1015"/>
        </w:numPr>
        <w:pStyle w:val="Compact"/>
      </w:pPr>
      <w:r>
        <w:rPr>
          <w:bCs/>
          <w:b/>
        </w:rPr>
        <w:t xml:space="preserve">Generic Emission Factors:</w:t>
      </w:r>
      <w:r>
        <w:t xml:space="preserve"> </w:t>
      </w:r>
      <w:r>
        <w:t xml:space="preserve">Reliance on illustrative industry-average emission factors for electricity grid mix (user phase) and transport modes may introduce slight inaccuracies compared to highly specific, supplier-specific data.</w:t>
      </w:r>
    </w:p>
    <w:p>
      <w:pPr>
        <w:numPr>
          <w:ilvl w:val="0"/>
          <w:numId w:val="1015"/>
        </w:numPr>
        <w:pStyle w:val="Compact"/>
      </w:pPr>
      <w:r>
        <w:rPr>
          <w:bCs/>
          <w:b/>
        </w:rPr>
        <w:t xml:space="preserve">Last-Mile Delivery Distance:</w:t>
      </w:r>
      <w:r>
        <w:t xml:space="preserve"> </w:t>
      </w:r>
      <w:r>
        <w:t xml:space="preserve">The assumed 100 km for last-mile delivery is an estimation. More precise data on average last-mile distances would enhance accuracy.</w:t>
      </w:r>
    </w:p>
    <w:p>
      <w:pPr>
        <w:numPr>
          <w:ilvl w:val="0"/>
          <w:numId w:val="1015"/>
        </w:numPr>
        <w:pStyle w:val="Compact"/>
      </w:pPr>
      <w:r>
        <w:rPr>
          <w:bCs/>
          <w:b/>
        </w:rPr>
        <w:t xml:space="preserve">End-of-Life Specifics:</w:t>
      </w:r>
      <w:r>
        <w:t xml:space="preserve"> </w:t>
      </w:r>
      <w:r>
        <w:t xml:space="preserve">While recyclability percentage is provided, the exact energy consumption/emissions for specific recycling processes or avoided virgin material impacts could be further refined with direct data from recycling partners.</w:t>
      </w:r>
    </w:p>
    <w:p>
      <w:pPr>
        <w:pStyle w:val="FirstParagraph"/>
      </w:pPr>
      <w:r>
        <w:t xml:space="preserve">Future iterations of this PCF analysis would benefit from collecting more granular, primary data for all secondary data points currently used.</w:t>
      </w:r>
    </w:p>
    <w:bookmarkEnd w:id="36"/>
    <w:bookmarkStart w:id="39" w:name="recommendations"/>
    <w:p>
      <w:pPr>
        <w:pStyle w:val="Heading3"/>
      </w:pPr>
      <w:r>
        <w:t xml:space="preserve">Recommendations:</w:t>
      </w:r>
    </w:p>
    <w:p>
      <w:pPr>
        <w:numPr>
          <w:ilvl w:val="0"/>
          <w:numId w:val="1016"/>
        </w:numPr>
        <w:pStyle w:val="Compact"/>
      </w:pPr>
      <w:r>
        <w:rPr>
          <w:bCs/>
          <w:b/>
        </w:rPr>
        <w:t xml:space="preserve">Material Optimization:</w:t>
      </w:r>
      <w:r>
        <w:t xml:space="preserve"> </w:t>
      </w:r>
      <w:r>
        <w:t xml:space="preserve">Explore alternative materials with lower inherent carbon footprints or investigate suppliers with highly decarbonized processes for steel, plastic, and silicon.</w:t>
      </w:r>
    </w:p>
    <w:p>
      <w:pPr>
        <w:numPr>
          <w:ilvl w:val="0"/>
          <w:numId w:val="1016"/>
        </w:numPr>
        <w:pStyle w:val="Compact"/>
      </w:pPr>
      <w:r>
        <w:rPr>
          <w:bCs/>
          <w:b/>
        </w:rPr>
        <w:t xml:space="preserve">Energy Efficiency in Use:</w:t>
      </w:r>
      <w:r>
        <w:t xml:space="preserve"> </w:t>
      </w:r>
      <w:r>
        <w:t xml:space="preserve">Implement design improvements to reduce the product\'s energy consumption during its operational lifespan. Encourage user awareness campaigns for sustainable product use.</w:t>
      </w:r>
    </w:p>
    <w:p>
      <w:pPr>
        <w:numPr>
          <w:ilvl w:val="0"/>
          <w:numId w:val="1016"/>
        </w:numPr>
        <w:pStyle w:val="Compact"/>
      </w:pPr>
      <w:r>
        <w:rPr>
          <w:bCs/>
          <w:b/>
        </w:rPr>
        <w:t xml:space="preserve">Manufacturing Decarbonization:</w:t>
      </w:r>
      <w:r>
        <w:t xml:space="preserve"> </w:t>
      </w:r>
      <w:r>
        <w:t xml:space="preserve">Increase the percentage of renewable energy used in the production facility beyond the current 60%. Investigate opportunities for process optimization to reduce overall energy intensity.</w:t>
      </w:r>
    </w:p>
    <w:p>
      <w:pPr>
        <w:numPr>
          <w:ilvl w:val="0"/>
          <w:numId w:val="1016"/>
        </w:numPr>
        <w:pStyle w:val="Compact"/>
      </w:pPr>
      <w:r>
        <w:rPr>
          <w:bCs/>
          <w:b/>
        </w:rPr>
        <w:t xml:space="preserve">Logistics Optimization:</w:t>
      </w:r>
      <w:r>
        <w:t xml:space="preserve"> </w:t>
      </w:r>
      <w:r>
        <w:t xml:space="preserve">Optimize transport routes, consider lower-emission transport modes where feasible (e.g., rail for longer distances), and explore opportunities for consolidating shipments.</w:t>
      </w:r>
    </w:p>
    <w:p>
      <w:pPr>
        <w:numPr>
          <w:ilvl w:val="0"/>
          <w:numId w:val="1016"/>
        </w:numPr>
        <w:pStyle w:val="Compact"/>
      </w:pPr>
      <w:r>
        <w:rPr>
          <w:bCs/>
          <w:b/>
        </w:rPr>
        <w:t xml:space="preserve">Strengthen Circularity:</w:t>
      </w:r>
      <w:r>
        <w:t xml:space="preserve"> </w:t>
      </w:r>
      <w:r>
        <w:t xml:space="preserve">Leverage the existing circular/take-back programs (setihxwqdi) to further increase actual recycling rates and explore opportunities for repair, refurbishment, or remanufacturing to extend product lifespans and minimize waste.</w:t>
      </w:r>
    </w:p>
    <w:p>
      <w:r>
        <w:pict>
          <v:rect style="width:0;height:1.5pt" o:hralign="center" o:hrstd="t" o:hr="t"/>
        </w:pict>
      </w:r>
    </w:p>
    <w:p>
      <w:pPr>
        <w:pStyle w:val="FirstParagraph"/>
      </w:pPr>
      <w:r>
        <w:t xml:space="preserve">Confidential - Internal Use Only | Page</w:t>
      </w:r>
      <w:r>
        <w:t xml:space="preserve"> </w:t>
      </w:r>
      <w:bookmarkStart w:id="37" w:name="page-num"/>
      <w:r>
        <w:t xml:space="preserve">1</w:t>
      </w:r>
      <w:bookmarkEnd w:id="37"/>
      <w:r>
        <w:t xml:space="preserve"> </w:t>
      </w:r>
      <w:r>
        <w:t xml:space="preserve">of</w:t>
      </w:r>
      <w:r>
        <w:t xml:space="preserve"> </w:t>
      </w:r>
      <w:bookmarkStart w:id="38" w:name="total-pages"/>
      <w:r>
        <w:t xml:space="preserve">1</w:t>
      </w:r>
      <w:bookmarkEnd w:id="38"/>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evtqulrein</dc:title>
  <dc:creator/>
  <dc:description>Detailed Product Carbon Footprint (PCF) analysis report for evtqulrein by wmzmzwhwyz, adhering to GHG Protocol standards and 2026 LSR updates.</dc:description>
  <dc:language>en</dc:language>
  <cp:keywords/>
  <dcterms:created xsi:type="dcterms:W3CDTF">2026-10-16T13:56:44Z</dcterms:created>
  <dcterms:modified xsi:type="dcterms:W3CDTF">2026-10-16T13:56:44Z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