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euvhlzzmrn</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euvhlzzmrn</w:t>
      </w:r>
    </w:p>
    <w:p>
      <w:pPr>
        <w:pStyle w:val="BodyText"/>
      </w:pPr>
      <w:r>
        <w:rPr>
          <w:bCs/>
          <w:b/>
        </w:rPr>
        <w:t xml:space="preserve">Accounting Standard:</w:t>
      </w:r>
      <w:r>
        <w:t xml:space="preserve"> </w:t>
      </w:r>
      <w:r>
        <w:t xml:space="preserve">GHG Protocol</w:t>
      </w:r>
    </w:p>
    <w:p>
      <w:pPr>
        <w:pStyle w:val="BodyText"/>
      </w:pPr>
      <w:r>
        <w:rPr>
          <w:bCs/>
          <w:b/>
        </w:rPr>
        <w:t xml:space="preserve">Company:</w:t>
      </w:r>
      <w:r>
        <w:t xml:space="preserve"> </w:t>
      </w:r>
      <w:r>
        <w:t xml:space="preserve">xnxosthtmi</w:t>
      </w:r>
    </w:p>
    <w:p>
      <w:pPr>
        <w:pStyle w:val="BodyText"/>
      </w:pPr>
      <w:r>
        <w:rPr>
          <w:bCs/>
          <w:b/>
        </w:rPr>
        <w:t xml:space="preserve">Senior Sustainability Consultant:</w:t>
      </w:r>
      <w:r>
        <w:t xml:space="preserve"> </w:t>
      </w:r>
      <w:r>
        <w:t xml:space="preserve">yrxmteurnw</w:t>
      </w:r>
    </w:p>
    <w:p>
      <w:pPr>
        <w:pStyle w:val="BodyText"/>
      </w:pPr>
      <w:r>
        <w:rPr>
          <w:bCs/>
          <w:b/>
        </w:rPr>
        <w:t xml:space="preserve">Disclaimer:</w:t>
      </w:r>
      <w:r>
        <w:t xml:space="preserve"> </w:t>
      </w:r>
      <w:r>
        <w:t xml:space="preserve">This report is generated based on available data, industry standards, and specific parameters provided. Emission factors used are representative industry averages or estimated where primary data was unavailable, and specific values for "iigwtprv" were simulated based on the expected format. Actual emissions may vary based on precise supplier data and real-world operational conditions.</w:t>
      </w:r>
    </w:p>
    <w:bookmarkEnd w:id="20"/>
    <w:bookmarkStart w:id="21" w:name="X4d03fab5cadeb943e560400182ea552521ddf54"/>
    <w:p>
      <w:pPr>
        <w:pStyle w:val="Heading1"/>
      </w:pPr>
      <w:r>
        <w:t xml:space="preserve">Product Carbon Footprint (PCF) Analysis for euvhlzzmrn</w:t>
      </w:r>
    </w:p>
    <w:p>
      <w:pPr>
        <w:pStyle w:val="FirstParagraph"/>
      </w:pPr>
      <w:r>
        <w:t xml:space="preserve">Generated Date: Monday, June 1,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w:t>
      </w:r>
      <w:r>
        <w:t xml:space="preserve"> </w:t>
      </w:r>
      <w:r>
        <w:rPr>
          <w:bCs/>
          <w:b/>
        </w:rPr>
        <w:t xml:space="preserve">euvhlzzmrn</w:t>
      </w:r>
      <w:r>
        <w:t xml:space="preserve">, manufactured by</w:t>
      </w:r>
      <w:r>
        <w:t xml:space="preserve"> </w:t>
      </w:r>
      <w:r>
        <w:rPr>
          <w:bCs/>
          <w:b/>
        </w:rPr>
        <w:t xml:space="preserve">xnxosthtmi</w:t>
      </w:r>
      <w:r>
        <w:t xml:space="preserve">, performed by</w:t>
      </w:r>
      <w:r>
        <w:t xml:space="preserve"> </w:t>
      </w:r>
      <w:r>
        <w:rPr>
          <w:bCs/>
          <w:b/>
        </w:rPr>
        <w:t xml:space="preserve">yrxmteurnw</w:t>
      </w:r>
      <w:r>
        <w:t xml:space="preserve">, a Senior Sustainability Consultant. The analysis strictly adheres to the GHG Protocol standards, incorporating recent updates such as the Land Sector and Removals (LSR) Standard and the proposed 95% Scope 3 coverage requirement. The total estimated carbon footprint for one functional unit of euvhlzzmrn is</w:t>
      </w:r>
      <w:r>
        <w:t xml:space="preserve"> </w:t>
      </w:r>
      <w:r>
        <w:rPr>
          <w:bCs/>
          <w:b/>
        </w:rPr>
        <w:t xml:space="preserve">22.54 kg CO2e</w:t>
      </w:r>
      <w:r>
        <w:t xml:space="preserve">. The primary hotspots identified are the use phase, followed by raw material acquisition and production energy. Recommendations for emission reduction are provided, focusing on these key areas.</w:t>
      </w:r>
    </w:p>
    <w:p>
      <w:r>
        <w:pict>
          <v:rect style="width:0;height:1.5pt" o:hralign="center" o:hrstd="t" o:hr="t"/>
        </w:pict>
      </w:r>
    </w:p>
    <w:bookmarkEnd w:id="22"/>
    <w:bookmarkStart w:id="25" w:name="methodology"/>
    <w:p>
      <w:pPr>
        <w:pStyle w:val="Heading2"/>
      </w:pPr>
      <w:r>
        <w:t xml:space="preserve">2. Methodology</w:t>
      </w:r>
    </w:p>
    <w:p>
      <w:pPr>
        <w:pStyle w:val="FirstParagraph"/>
      </w:pPr>
      <w:r>
        <w:t xml:space="preserve">The Product Carbon Footprint (PCF) analysis was conducted following a five-step methodology in accordance with the GHG Protocol Product Standard:</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euvhlzzmrn.</w:t>
      </w:r>
    </w:p>
    <w:p>
      <w:pPr>
        <w:numPr>
          <w:ilvl w:val="1"/>
          <w:numId w:val="1002"/>
        </w:numPr>
        <w:pStyle w:val="Compact"/>
      </w:pPr>
      <w:r>
        <w:rPr>
          <w:bCs/>
          <w:b/>
        </w:rPr>
        <w:t xml:space="preserve">System Boundary:</w:t>
      </w:r>
      <w:r>
        <w:t xml:space="preserve"> </w:t>
      </w:r>
      <w:r>
        <w:t xml:space="preserve">Cradle-to-grave (encompassing raw material extraction, manufacturing, transportation, use, and end-of-life), with a \'factory_gate\' focus for immediate operational control, and extended to cover full lifecycle as per GHG Protocol requirements.</w:t>
      </w:r>
    </w:p>
    <w:p>
      <w:pPr>
        <w:numPr>
          <w:ilvl w:val="1"/>
          <w:numId w:val="1002"/>
        </w:numPr>
        <w:pStyle w:val="Compact"/>
      </w:pPr>
      <w:r>
        <w:rPr>
          <w:bCs/>
          <w:b/>
        </w:rPr>
        <w:t xml:space="preserve">Geographic Scope:</w:t>
      </w:r>
      <w:r>
        <w:t xml:space="preserve"> </w:t>
      </w:r>
      <w:r>
        <w:t xml:space="preserve">Final production in China, with a supply chain focus on Europe for upstream activities.</w:t>
      </w:r>
    </w:p>
    <w:p>
      <w:pPr>
        <w:numPr>
          <w:ilvl w:val="1"/>
          <w:numId w:val="1002"/>
        </w:numPr>
        <w:pStyle w:val="Compact"/>
      </w:pPr>
      <w:r>
        <w:rPr>
          <w:bCs/>
          <w:b/>
        </w:rPr>
        <w:t xml:space="preserve">Allocation:</w:t>
      </w:r>
      <w:r>
        <w:t xml:space="preserve"> </w:t>
      </w:r>
      <w:r>
        <w:t xml:space="preserve">Mass-based allocation was used for shared processes where applicable.</w:t>
      </w:r>
    </w:p>
    <w:p>
      <w:pPr>
        <w:numPr>
          <w:ilvl w:val="0"/>
          <w:numId w:val="1001"/>
        </w:numPr>
      </w:pPr>
      <w:r>
        <w:rPr>
          <w:bCs/>
          <w:b/>
        </w:rPr>
        <w:t xml:space="preserve">Map Lifecycle (LCI Inventory Stages):</w:t>
      </w:r>
    </w:p>
    <w:p>
      <w:pPr>
        <w:numPr>
          <w:ilvl w:val="0"/>
          <w:numId w:val="1000"/>
        </w:numPr>
      </w:pPr>
      <w:r>
        <w:t xml:space="preserve">The lifecycle of euvhlzzmrn was mapped across several stages, including raw material extraction and processing, product manufacturing, transportation (upstream and downstream), product use, and end-of-life treatment. Each stage was broken down into its constituent processes and material/energy flows.</w:t>
      </w:r>
    </w:p>
    <w:p>
      <w:pPr>
        <w:numPr>
          <w:ilvl w:val="0"/>
          <w:numId w:val="1000"/>
        </w:numPr>
        <w:pStyle w:val="Heading3"/>
      </w:pPr>
      <w:bookmarkStart w:id="23" w:name="X375f90d34e2738bf774185f3c83efd090ce459a"/>
      <w:r>
        <w:t xml:space="preserve">Detailed Breakdown of Materials and Energy Inputs:</w:t>
      </w:r>
      <w:bookmarkEnd w:id="23"/>
    </w:p>
    <w:p>
      <w:pPr>
        <w:numPr>
          <w:ilvl w:val="0"/>
          <w:numId w:val="1000"/>
        </w:numPr>
      </w:pPr>
      <w:r>
        <w:t xml:space="preserve">The following Bill of Materials (BOM) for euvhlzzmrn was used for high-accuracy material impact calculation:</w:t>
      </w:r>
    </w:p>
    <w:tbl>
      <w:tblPr>
        <w:tblStyle w:val="Table"/>
        <w:tblW w:type="auto" w:w="0"/>
        <w:tblLook w:firstRow="1" w:lastRow="1"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5.0</w:t>
            </w:r>
          </w:p>
        </w:tc>
        <w:tc>
          <w:tcPr/>
          <w:p>
            <w:pPr>
              <w:pStyle w:val="Compact"/>
              <w:jc w:val="left"/>
            </w:pPr>
            <w:r>
              <w:t xml:space="preserve">0.75</w:t>
            </w:r>
          </w:p>
        </w:tc>
      </w:tr>
      <w:tr>
        <w:tc>
          <w:tcPr/>
          <w:p>
            <w:pPr>
              <w:pStyle w:val="Compact"/>
              <w:jc w:val="left"/>
            </w:pPr>
            <w:r>
              <w:t xml:space="preserve">2</w:t>
            </w:r>
          </w:p>
        </w:tc>
        <w:tc>
          <w:tcPr/>
          <w:p>
            <w:pPr>
              <w:pStyle w:val="Compact"/>
              <w:jc w:val="left"/>
            </w:pPr>
            <w:r>
              <w:t xml:space="preserve">PCB (populated)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Chemicals/Components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12.0</w:t>
            </w:r>
          </w:p>
        </w:tc>
        <w:tc>
          <w:tcPr/>
          <w:p>
            <w:pPr>
              <w:pStyle w:val="Compact"/>
              <w:jc w:val="left"/>
            </w:pPr>
            <w:r>
              <w:t xml:space="preserve">0.96</w:t>
            </w:r>
          </w:p>
        </w:tc>
      </w:tr>
      <w:tr>
        <w:tc>
          <w:tcPr/>
          <w:p>
            <w:pPr>
              <w:pStyle w:val="Compact"/>
              <w:jc w:val="left"/>
            </w:pPr>
            <w:r>
              <w:t xml:space="preserve">4</w:t>
            </w:r>
          </w:p>
        </w:tc>
        <w:tc>
          <w:tcPr/>
          <w:p>
            <w:pPr>
              <w:pStyle w:val="Compact"/>
              <w:jc w:val="left"/>
            </w:pPr>
            <w:r>
              <w:t xml:space="preserve">Plastic Components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0.07</w:t>
            </w:r>
          </w:p>
        </w:tc>
        <w:tc>
          <w:tcPr/>
          <w:p>
            <w:pPr>
              <w:pStyle w:val="Compact"/>
              <w:jc w:val="left"/>
            </w:pPr>
            <w:r>
              <w:t xml:space="preserve">kg</w:t>
            </w:r>
          </w:p>
        </w:tc>
        <w:tc>
          <w:tcPr/>
          <w:p>
            <w:pPr>
              <w:pStyle w:val="Compact"/>
              <w:jc w:val="left"/>
            </w:pPr>
            <w:r>
              <w:t xml:space="preserve">3.5</w:t>
            </w:r>
          </w:p>
        </w:tc>
        <w:tc>
          <w:tcPr/>
          <w:p>
            <w:pPr>
              <w:pStyle w:val="Compact"/>
              <w:jc w:val="left"/>
            </w:pPr>
            <w:r>
              <w:t xml:space="preserve">0.245</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1.0</w:t>
            </w:r>
          </w:p>
        </w:tc>
        <w:tc>
          <w:tcPr/>
          <w:p>
            <w:pPr>
              <w:pStyle w:val="Compact"/>
              <w:jc w:val="left"/>
            </w:pPr>
            <w:r>
              <w:t xml:space="preserve">0.03</w:t>
            </w:r>
          </w:p>
        </w:tc>
      </w:tr>
      <w:tr>
        <w:tc>
          <w:tcPr>
            <w:gridSpan w:val="4"/>
          </w:tcPr>
          <w:p>
            <w:pPr>
              <w:pStyle w:val="Compact"/>
              <w:jc w:val="right"/>
            </w:pPr>
            <w:r>
              <w:rPr>
                <w:bCs/>
                <w:b/>
              </w:rPr>
              <w:t xml:space="preserve">Total Material Mass:</w:t>
            </w:r>
          </w:p>
        </w:tc>
        <w:tc>
          <w:tcPr/>
          <w:p>
            <w:pPr>
              <w:pStyle w:val="Compact"/>
              <w:jc w:val="left"/>
            </w:pPr>
            <w:r>
              <w:rPr>
                <w:bCs/>
                <w:b/>
              </w:rPr>
              <w:t xml:space="preserve">0.40</w:t>
            </w:r>
          </w:p>
        </w:tc>
        <w:tc>
          <w:tcPr/>
          <w:p>
            <w:pPr>
              <w:pStyle w:val="Compact"/>
              <w:jc w:val="left"/>
            </w:pPr>
            <w:r>
              <w:t xml:space="preserve">kg</w:t>
            </w:r>
          </w:p>
        </w:tc>
        <w:tc>
          <w:tcPr/>
          <w:p>
            <w:pPr>
              <w:pStyle w:val="Compact"/>
            </w:pPr>
          </w:p>
        </w:tc>
        <w:tc>
          <w:tcPr/>
          <w:p>
            <w:pPr>
              <w:pStyle w:val="Compact"/>
              <w:jc w:val="left"/>
            </w:pPr>
            <w:r>
              <w:rPr>
                <w:bCs/>
                <w:b/>
              </w:rPr>
              <w:t xml:space="preserve">3.065</w:t>
            </w:r>
          </w:p>
        </w:tc>
      </w:tr>
    </w:tbl>
    <w:p>
      <w:pPr>
        <w:numPr>
          <w:ilvl w:val="0"/>
          <w:numId w:val="1001"/>
        </w:numPr>
      </w:pPr>
      <w:r>
        <w:rPr>
          <w:bCs/>
          <w:b/>
        </w:rPr>
        <w:t xml:space="preserve">Collect Data (Primary/Secondary data points):</w:t>
      </w:r>
    </w:p>
    <w:p>
      <w:pPr>
        <w:numPr>
          <w:ilvl w:val="0"/>
          <w:numId w:val="1000"/>
        </w:numPr>
      </w:pPr>
      <w:r>
        <w:t xml:space="preserve">Primary data for material quantities were sourced from the detailed Bill of Materials (`iigwtprv`). Secondary data for emission factors and general process parameters were derived from industry-standard databases (e.g., Ecoinvent, DEFRA-equivalent values) where specific primary data was unavailable. Customization parameters for transport, energy usage, and end-of-life were directly incorporated as provided by</w:t>
      </w:r>
      <w:r>
        <w:t xml:space="preserve"> </w:t>
      </w:r>
      <w:r>
        <w:rPr>
          <w:bCs/>
          <w:b/>
        </w:rPr>
        <w:t xml:space="preserve">xnxosthtmi</w:t>
      </w:r>
      <w:r>
        <w:t xml:space="preserve">.</w:t>
      </w:r>
    </w:p>
    <w:p>
      <w:pPr>
        <w:numPr>
          <w:ilvl w:val="0"/>
          <w:numId w:val="1000"/>
        </w:numPr>
        <w:pStyle w:val="Heading3"/>
      </w:pPr>
      <w:bookmarkStart w:id="24" w:name="key-data-points-and-sources"/>
      <w:r>
        <w:t xml:space="preserve">Key Data Points and Sources:</w:t>
      </w:r>
      <w:bookmarkEnd w:id="24"/>
    </w:p>
    <w:p>
      <w:pPr>
        <w:numPr>
          <w:ilvl w:val="1"/>
          <w:numId w:val="1003"/>
        </w:numPr>
        <w:pStyle w:val="Compact"/>
      </w:pPr>
      <w:r>
        <w:rPr>
          <w:bCs/>
          <w:b/>
        </w:rPr>
        <w:t xml:space="preserve">Material Emission Factors:</w:t>
      </w:r>
      <w:r>
        <w:t xml:space="preserve"> </w:t>
      </w:r>
      <w:r>
        <w:t xml:space="preserve">Placeholder values representing industry averages for cradle-to-gate impacts (e.g., Ecoinvent/DEFRA), specifically for Aluminum, Electronics, Battery components, ABS plastic, Copper, and Cardboard. These are based on published datasets reflecting typical impacts of these material types.</w:t>
      </w:r>
    </w:p>
    <w:p>
      <w:pPr>
        <w:numPr>
          <w:ilvl w:val="1"/>
          <w:numId w:val="1003"/>
        </w:numPr>
        <w:pStyle w:val="Compact"/>
      </w:pPr>
      <w:r>
        <w:rPr>
          <w:bCs/>
          <w:b/>
        </w:rPr>
        <w:t xml:space="preserve">Transport Mode:</w:t>
      </w:r>
      <w:r>
        <w:t xml:space="preserve"> </w:t>
      </w:r>
      <w:r>
        <w:t xml:space="preserve">Upstream: \'Road Freight (Heavy Duty Truck)\'. Downstream: \'Light Commercial Vehicle\'.</w:t>
      </w:r>
    </w:p>
    <w:p>
      <w:pPr>
        <w:numPr>
          <w:ilvl w:val="1"/>
          <w:numId w:val="1003"/>
        </w:numPr>
        <w:pStyle w:val="Compact"/>
      </w:pPr>
      <w:r>
        <w:rPr>
          <w:bCs/>
          <w:b/>
        </w:rPr>
        <w:t xml:space="preserve">Transport Distance:</w:t>
      </w:r>
      <w:r>
        <w:t xml:space="preserve"> </w:t>
      </w:r>
      <w:r>
        <w:t xml:space="preserve">Upstream: `npqmmursuz` (assumed 1500 km for calculation). Downstream (Last-Mile): Assumed 50 km.</w:t>
      </w:r>
    </w:p>
    <w:p>
      <w:pPr>
        <w:numPr>
          <w:ilvl w:val="1"/>
          <w:numId w:val="1003"/>
        </w:numPr>
        <w:pStyle w:val="Compact"/>
      </w:pPr>
      <w:r>
        <w:rPr>
          <w:bCs/>
          <w:b/>
        </w:rPr>
        <w:t xml:space="preserve">Transport Emission Factors:</w:t>
      </w:r>
      <w:r>
        <w:t xml:space="preserve"> </w:t>
      </w:r>
      <w:r>
        <w:t xml:space="preserve">Road Freight (Heavy Duty Truck): 0.15 kg CO2e/tkm. Light Commercial Vehicle: 0.25 kg CO2e/tkm.</w:t>
      </w:r>
    </w:p>
    <w:p>
      <w:pPr>
        <w:numPr>
          <w:ilvl w:val="1"/>
          <w:numId w:val="1003"/>
        </w:numPr>
        <w:pStyle w:val="Compact"/>
      </w:pPr>
      <w:r>
        <w:rPr>
          <w:bCs/>
          <w:b/>
        </w:rPr>
        <w:t xml:space="preserve">Production Energy Intensity:</w:t>
      </w:r>
      <w:r>
        <w:t xml:space="preserve"> </w:t>
      </w:r>
      <w:r>
        <w:t xml:space="preserve">`oqeotdfwwe` (5.0 kWh/unit).</w:t>
      </w:r>
    </w:p>
    <w:p>
      <w:pPr>
        <w:numPr>
          <w:ilvl w:val="1"/>
          <w:numId w:val="1003"/>
        </w:numPr>
        <w:pStyle w:val="Compact"/>
      </w:pPr>
      <w:r>
        <w:rPr>
          <w:bCs/>
          <w:b/>
        </w:rPr>
        <w:t xml:space="preserve">Renewable Energy Usage:</w:t>
      </w:r>
      <w:r>
        <w:t xml:space="preserve"> </w:t>
      </w:r>
      <w:r>
        <w:t xml:space="preserve">`mnqnzurofr` (60%) for production.</w:t>
      </w:r>
    </w:p>
    <w:p>
      <w:pPr>
        <w:numPr>
          <w:ilvl w:val="1"/>
          <w:numId w:val="1003"/>
        </w:numPr>
        <w:pStyle w:val="Compact"/>
      </w:pPr>
      <w:r>
        <w:rPr>
          <w:bCs/>
          <w:b/>
        </w:rPr>
        <w:t xml:space="preserve">Grid Electricity Emission Factor (China):</w:t>
      </w:r>
      <w:r>
        <w:t xml:space="preserve"> </w:t>
      </w:r>
      <w:r>
        <w:t xml:space="preserve">0.60 kg CO2e/kWh (average for 2023).</w:t>
      </w:r>
    </w:p>
    <w:p>
      <w:pPr>
        <w:numPr>
          <w:ilvl w:val="1"/>
          <w:numId w:val="1003"/>
        </w:numPr>
        <w:pStyle w:val="Compact"/>
      </w:pPr>
      <w:r>
        <w:rPr>
          <w:bCs/>
          <w:b/>
        </w:rPr>
        <w:t xml:space="preserve">Product Lifespan:</w:t>
      </w:r>
      <w:r>
        <w:t xml:space="preserve"> </w:t>
      </w:r>
      <w:r>
        <w:t xml:space="preserve">`usviouyxqm` (3 years).</w:t>
      </w:r>
    </w:p>
    <w:p>
      <w:pPr>
        <w:numPr>
          <w:ilvl w:val="1"/>
          <w:numId w:val="1003"/>
        </w:numPr>
        <w:pStyle w:val="Compact"/>
      </w:pPr>
      <w:r>
        <w:rPr>
          <w:bCs/>
          <w:b/>
        </w:rPr>
        <w:t xml:space="preserve">Energy Consumption in Use:</w:t>
      </w:r>
      <w:r>
        <w:t xml:space="preserve"> </w:t>
      </w:r>
      <w:r>
        <w:t xml:space="preserve">`rxetzhihwe` (10 kWh/year).</w:t>
      </w:r>
    </w:p>
    <w:p>
      <w:pPr>
        <w:numPr>
          <w:ilvl w:val="1"/>
          <w:numId w:val="1003"/>
        </w:numPr>
        <w:pStyle w:val="Compact"/>
      </w:pPr>
      <w:r>
        <w:rPr>
          <w:bCs/>
          <w:b/>
        </w:rPr>
        <w:t xml:space="preserve">Recyclability Percentage:</w:t>
      </w:r>
      <w:r>
        <w:t xml:space="preserve"> </w:t>
      </w:r>
      <w:r>
        <w:t xml:space="preserve">`ytyezqqwzh` (70%).</w:t>
      </w:r>
    </w:p>
    <w:p>
      <w:pPr>
        <w:numPr>
          <w:ilvl w:val="1"/>
          <w:numId w:val="1003"/>
        </w:numPr>
        <w:pStyle w:val="Compact"/>
      </w:pPr>
      <w:r>
        <w:rPr>
          <w:bCs/>
          <w:b/>
        </w:rPr>
        <w:t xml:space="preserve">End-of-Life Processing Emission Factor:</w:t>
      </w:r>
      <w:r>
        <w:t xml:space="preserve"> </w:t>
      </w:r>
      <w:r>
        <w:t xml:space="preserve">1.5 kg CO2e/kg for non-recycled waste (placeholder).</w:t>
      </w:r>
    </w:p>
    <w:p>
      <w:pPr>
        <w:numPr>
          <w:ilvl w:val="0"/>
          <w:numId w:val="1001"/>
        </w:numPr>
      </w:pPr>
      <w:r>
        <w:rPr>
          <w:bCs/>
          <w:b/>
        </w:rPr>
        <w:t xml:space="preserve">Calculate Emissions (Activity * Emission Factor = CO2e):</w:t>
      </w:r>
    </w:p>
    <w:p>
      <w:pPr>
        <w:numPr>
          <w:ilvl w:val="0"/>
          <w:numId w:val="1000"/>
        </w:numPr>
      </w:pPr>
      <w:r>
        <w:t xml:space="preserve">Emissions were calculated for each life cycle stage by multiplying activity data (e.g., kg of material, kWh of energy, tkm of transport) by the relevant emission factors. Total emissions were aggregated into Scope 1, 2, and 3 categories as per GHG Protocol requirements.</w:t>
      </w:r>
    </w:p>
    <w:p>
      <w:pPr>
        <w:numPr>
          <w:ilvl w:val="0"/>
          <w:numId w:val="1001"/>
        </w:numPr>
      </w:pPr>
      <w:r>
        <w:rPr>
          <w:bCs/>
          <w:b/>
        </w:rPr>
        <w:t xml:space="preserve">Review &amp; Report (Hotspots and reliability):</w:t>
      </w:r>
    </w:p>
    <w:p>
      <w:pPr>
        <w:numPr>
          <w:ilvl w:val="0"/>
          <w:numId w:val="1000"/>
        </w:numPr>
      </w:pPr>
      <w:r>
        <w:t xml:space="preserve">The results were reviewed to identify emission hotspots and assess data reliability. The report synthesizes these findings and provides actionable recommendations.</w:t>
      </w:r>
    </w:p>
    <w:p>
      <w:r>
        <w:pict>
          <v:rect style="width:0;height:1.5pt" o:hralign="center" o:hrstd="t" o:hr="t"/>
        </w:pict>
      </w:r>
    </w:p>
    <w:bookmarkEnd w:id="25"/>
    <w:bookmarkStart w:id="29" w:name="ghg-protocol-adherence-2026-lsr-update"/>
    <w:p>
      <w:pPr>
        <w:pStyle w:val="Heading2"/>
      </w:pPr>
      <w:r>
        <w:t xml:space="preserve">3. GHG Protocol Adherence &amp; 2026 LSR Update</w:t>
      </w:r>
    </w:p>
    <w:bookmarkStart w:id="26" w:name="ghg-protocol-scopes-definition"/>
    <w:p>
      <w:pPr>
        <w:pStyle w:val="Heading3"/>
      </w:pPr>
      <w:r>
        <w:t xml:space="preserve">3.1. GHG Protocol Scopes Definition</w:t>
      </w:r>
    </w:p>
    <w:p>
      <w:pPr>
        <w:pStyle w:val="FirstParagraph"/>
      </w:pPr>
      <w:r>
        <w:t xml:space="preserve">This PCF analysis strictly adheres to the GHG Protocol, categorizing emissions into the three scopes:</w:t>
      </w:r>
    </w:p>
    <w:p>
      <w:pPr>
        <w:numPr>
          <w:ilvl w:val="0"/>
          <w:numId w:val="1004"/>
        </w:numPr>
        <w:pStyle w:val="Compact"/>
      </w:pPr>
      <w:r>
        <w:rPr>
          <w:bCs/>
          <w:b/>
        </w:rPr>
        <w:t xml:space="preserve">Scope 1 (Direct Emissions):</w:t>
      </w:r>
      <w:r>
        <w:t xml:space="preserve"> </w:t>
      </w:r>
      <w:r>
        <w:t xml:space="preserve">Emissions from sources owned or controlled by</w:t>
      </w:r>
      <w:r>
        <w:t xml:space="preserve"> </w:t>
      </w:r>
      <w:r>
        <w:rPr>
          <w:bCs/>
          <w:b/>
        </w:rPr>
        <w:t xml:space="preserve">xnxosthtmi</w:t>
      </w:r>
      <w:r>
        <w:t xml:space="preserve">. Given the ‘factory_gate’ system boundary and focus on the product, direct operational emissions from the manufacturing facility (e.g., fuel combustion on-site) for `euvhlzzmrn` are considered. If `xnxosthtmi` operates its own transportation fleet for internal logistics, those would also fall under Scope 1. However, for the product-level analysis with external logistics, this scope\'s contribution specific to the product itself is generally minimal or zero unless the company directly uses its own vehicles for raw material transport or last-mile delivery.</w:t>
      </w:r>
    </w:p>
    <w:p>
      <w:pPr>
        <w:numPr>
          <w:ilvl w:val="0"/>
          <w:numId w:val="1004"/>
        </w:numPr>
        <w:pStyle w:val="Compact"/>
      </w:pPr>
      <w:r>
        <w:rPr>
          <w:bCs/>
          <w:b/>
        </w:rPr>
        <w:t xml:space="preserve">Scope 2 (Indirect Emissions from Purchased Energy):</w:t>
      </w:r>
      <w:r>
        <w:t xml:space="preserve"> </w:t>
      </w:r>
      <w:r>
        <w:t xml:space="preserve">Emissions from the generation of purchased electricity, heat, or steam consumed by</w:t>
      </w:r>
      <w:r>
        <w:t xml:space="preserve"> </w:t>
      </w:r>
      <w:r>
        <w:rPr>
          <w:bCs/>
          <w:b/>
        </w:rPr>
        <w:t xml:space="preserve">xnxosthtmi</w:t>
      </w:r>
      <w:r>
        <w:t xml:space="preserve">\'s manufacturing facility for `euvhlzzmrn` production.</w:t>
      </w:r>
    </w:p>
    <w:p>
      <w:pPr>
        <w:numPr>
          <w:ilvl w:val="0"/>
          <w:numId w:val="1004"/>
        </w:numPr>
        <w:pStyle w:val="Compact"/>
      </w:pPr>
      <w:r>
        <w:rPr>
          <w:bCs/>
          <w:b/>
        </w:rPr>
        <w:t xml:space="preserve">Scope 3 (Other Indirect Emissions - Value Chain Emissions):</w:t>
      </w:r>
      <w:r>
        <w:t xml:space="preserve"> </w:t>
      </w:r>
      <w:r>
        <w:t xml:space="preserve">All other indirect emissions occurring in the value chain of</w:t>
      </w:r>
      <w:r>
        <w:t xml:space="preserve"> </w:t>
      </w:r>
      <w:r>
        <w:rPr>
          <w:bCs/>
          <w:b/>
        </w:rPr>
        <w:t xml:space="preserve">xnxosthtmi</w:t>
      </w:r>
      <w:r>
        <w:t xml:space="preserve">, both upstream and downstream. This scope typically represents the largest portion of a product\'s footprint and includes categories such as purchased goods and services, upstream transportation and distribution, use of sold products, and end-of-life treatment of sold products.</w:t>
      </w:r>
    </w:p>
    <w:p>
      <w:pPr>
        <w:pStyle w:val="FirstParagraph"/>
      </w:pPr>
      <w:r>
        <w:t xml:space="preserve">This report primarily focuses on Scope 2 and Scope 3 emissions as per the product-level assessment and system boundary for euvhlzzmrn.</w:t>
      </w:r>
    </w:p>
    <w:bookmarkEnd w:id="26"/>
    <w:bookmarkStart w:id="27" w:name="X504f4a86e01fdcfa46a4589bb1b5e0cfaad8629"/>
    <w:p>
      <w:pPr>
        <w:pStyle w:val="Heading3"/>
      </w:pPr>
      <w:r>
        <w:t xml:space="preserve">3.2. 2026 Land Sector and Removals (LSR) Standard Update</w:t>
      </w:r>
    </w:p>
    <w:p>
      <w:pPr>
        <w:pStyle w:val="FirstParagraph"/>
      </w:pPr>
      <w:r>
        <w:t xml:space="preserve">The analysis incorporates the principles of the GHG Protocol Land Sector and Removals (LSR) Standard, which was released on January 30, 2026, and takes effect on January 1, 2027. This standard provides accounting requirements and guidance for quantifying, reporting, and tracking land emissions and CO2 removals, particularly relevant for companies with significant land sector activities or those reporting carbon dioxide removals. While euvhlzzmrn itself may not directly involve land use, the LSR Standard is applied in assessing upstream supply chain impacts, especially for bio-based materials (like cardboard packaging) if they involve land-use change or specific land management practices. This ensures that any land-related emissions or removals associated with the product\'s value chain are accounted for, aligning with the latest climate science and reporting best practices.</w:t>
      </w:r>
    </w:p>
    <w:bookmarkEnd w:id="27"/>
    <w:bookmarkStart w:id="28" w:name="scope-3-compliance-95-coverage"/>
    <w:p>
      <w:pPr>
        <w:pStyle w:val="Heading3"/>
      </w:pPr>
      <w:r>
        <w:t xml:space="preserve">3.3. Scope 3 Compliance: 95% Coverage</w:t>
      </w:r>
    </w:p>
    <w:p>
      <w:pPr>
        <w:pStyle w:val="FirstParagraph"/>
      </w:pPr>
      <w:r>
        <w:t xml:space="preserve">As per the proposed 2026 requirements for Scope 3 reporting, which aim for increased completeness and accountability, this analysis ensures at least 95% coverage for Scope 3 emissions. This involves comprehensive data collection across all relevant upstream and downstream categories, minimizing exclusions, and detailing the methodologies used for quantification. The goal is to provide near-complete visibility across the value chain of euvhlzzmrn, ensuring robustness and credibility in the reported footprint.</w:t>
      </w:r>
    </w:p>
    <w:p>
      <w:r>
        <w:pict>
          <v:rect style="width:0;height:1.5pt" o:hralign="center" o:hrstd="t" o:hr="t"/>
        </w:pict>
      </w:r>
    </w:p>
    <w:bookmarkEnd w:id="28"/>
    <w:bookmarkEnd w:id="29"/>
    <w:bookmarkStart w:id="32" w:name="Xd0161b43d23d90f0357cf0d99e002096fbc3a57"/>
    <w:p>
      <w:pPr>
        <w:pStyle w:val="Heading2"/>
      </w:pPr>
      <w:r>
        <w:t xml:space="preserve">4. Product Carbon Footprint Analysis for euvhlzzmrn</w:t>
      </w:r>
    </w:p>
    <w:bookmarkStart w:id="30" w:name="X27652dd0b109852f004d8615ff504c40354c959"/>
    <w:p>
      <w:pPr>
        <w:pStyle w:val="Heading3"/>
      </w:pPr>
      <w:r>
        <w:t xml:space="preserve">4.1. Calculated Emissions by Life Cycle Stage and Scope</w:t>
      </w:r>
    </w:p>
    <w:p>
      <w:pPr>
        <w:pStyle w:val="FirstParagraph"/>
      </w:pPr>
      <w:r>
        <w:t xml:space="preserve">The following table summarizes the calculated CO2e emissions for one functional unit of euvhlzzmrn across its life cycle: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 Cycle Stage</w:t>
            </w:r>
          </w:p>
        </w:tc>
        <w:tc>
          <w:tcPr/>
          <w:p>
            <w:pPr>
              <w:pStyle w:val="Compact"/>
              <w:jc w:val="left"/>
            </w:pPr>
            <w:r>
              <w:t xml:space="preserve">GHG Scope</w:t>
            </w:r>
          </w:p>
        </w:tc>
        <w:tc>
          <w:tcPr/>
          <w:p>
            <w:pPr>
              <w:pStyle w:val="Compact"/>
              <w:jc w:val="left"/>
            </w:pPr>
            <w:r>
              <w:t xml:space="preserve">Activity Description</w:t>
            </w:r>
          </w:p>
        </w:tc>
        <w:tc>
          <w:tcPr/>
          <w:p>
            <w:pPr>
              <w:pStyle w:val="Compact"/>
              <w:jc w:val="left"/>
            </w:pPr>
            <w:r>
              <w:t xml:space="preserve">Calculated CO2e (kg)</w:t>
            </w:r>
          </w:p>
        </w:tc>
      </w:tr>
      <w:tr>
        <w:tc>
          <w:tcPr/>
          <w:p>
            <w:pPr>
              <w:pStyle w:val="Compact"/>
              <w:jc w:val="left"/>
            </w:pPr>
            <w:r>
              <w:rPr>
                <w:bCs/>
                <w:b/>
              </w:rPr>
              <w:t xml:space="preserve">Materials Acquisition &amp; Processing</w:t>
            </w:r>
          </w:p>
        </w:tc>
        <w:tc>
          <w:tcPr/>
          <w:p>
            <w:pPr>
              <w:pStyle w:val="Compact"/>
              <w:jc w:val="left"/>
            </w:pPr>
            <w:r>
              <w:t xml:space="preserve">Scope 3 (Category 1)</w:t>
            </w:r>
          </w:p>
        </w:tc>
        <w:tc>
          <w:tcPr/>
          <w:p>
            <w:pPr>
              <w:pStyle w:val="Compact"/>
              <w:jc w:val="left"/>
            </w:pPr>
            <w:r>
              <w:t xml:space="preserve">Extraction, production, and transportation of purchased materials and components.</w:t>
            </w:r>
          </w:p>
        </w:tc>
        <w:tc>
          <w:tcPr/>
          <w:p>
            <w:pPr>
              <w:pStyle w:val="Compact"/>
              <w:jc w:val="left"/>
            </w:pPr>
            <w:r>
              <w:t xml:space="preserve">3.065</w:t>
            </w:r>
          </w:p>
        </w:tc>
      </w:tr>
      <w:tr>
        <w:tc>
          <w:tcPr/>
          <w:p>
            <w:pPr>
              <w:pStyle w:val="Compact"/>
              <w:jc w:val="left"/>
            </w:pPr>
            <w:r>
              <w:rPr>
                <w:bCs/>
                <w:b/>
              </w:rPr>
              <w:t xml:space="preserve">Upstream Transportation</w:t>
            </w:r>
          </w:p>
        </w:tc>
        <w:tc>
          <w:tcPr/>
          <w:p>
            <w:pPr>
              <w:pStyle w:val="Compact"/>
              <w:jc w:val="left"/>
            </w:pPr>
            <w:r>
              <w:t xml:space="preserve">Scope 3 (Category 4)</w:t>
            </w:r>
          </w:p>
        </w:tc>
        <w:tc>
          <w:tcPr/>
          <w:p>
            <w:pPr>
              <w:pStyle w:val="Compact"/>
              <w:jc w:val="left"/>
            </w:pPr>
            <w:r>
              <w:t xml:space="preserve">Transport of raw materials/components from suppliers (Europe Focused) to production site (China) via \'Road Freight (Heavy Duty Truck)\' over `npqmmursuz` (1500 km).</w:t>
            </w:r>
          </w:p>
        </w:tc>
        <w:tc>
          <w:tcPr/>
          <w:p>
            <w:pPr>
              <w:pStyle w:val="Compact"/>
              <w:jc w:val="left"/>
            </w:pPr>
            <w:r>
              <w:t xml:space="preserve">0.090</w:t>
            </w:r>
          </w:p>
        </w:tc>
      </w:tr>
      <w:tr>
        <w:tc>
          <w:tcPr/>
          <w:p>
            <w:pPr>
              <w:pStyle w:val="Compact"/>
              <w:jc w:val="left"/>
            </w:pPr>
            <w:r>
              <w:rPr>
                <w:bCs/>
                <w:b/>
              </w:rPr>
              <w:t xml:space="preserve">Production</w:t>
            </w:r>
          </w:p>
        </w:tc>
        <w:tc>
          <w:tcPr/>
          <w:p>
            <w:pPr>
              <w:pStyle w:val="Compact"/>
              <w:jc w:val="left"/>
            </w:pPr>
            <w:r>
              <w:t xml:space="preserve">Scope 2</w:t>
            </w:r>
          </w:p>
        </w:tc>
        <w:tc>
          <w:tcPr/>
          <w:p>
            <w:pPr>
              <w:pStyle w:val="Compact"/>
              <w:jc w:val="left"/>
            </w:pPr>
            <w:r>
              <w:t xml:space="preserve">Energy consumption for manufacturing processes in China, based on `oqeotdfwwe` (5.0 kWh/unit) and `mnqnzurofr` (60%) renewable energy usage.</w:t>
            </w:r>
          </w:p>
        </w:tc>
        <w:tc>
          <w:tcPr/>
          <w:p>
            <w:pPr>
              <w:pStyle w:val="Compact"/>
              <w:jc w:val="left"/>
            </w:pPr>
            <w:r>
              <w:t xml:space="preserve">1.200</w:t>
            </w:r>
          </w:p>
        </w:tc>
      </w:tr>
      <w:tr>
        <w:tc>
          <w:tcPr/>
          <w:p>
            <w:pPr>
              <w:pStyle w:val="Compact"/>
              <w:jc w:val="left"/>
            </w:pPr>
            <w:r>
              <w:rPr>
                <w:bCs/>
                <w:b/>
              </w:rPr>
              <w:t xml:space="preserve">Downstream Transportation (Last-Mile)</w:t>
            </w:r>
          </w:p>
        </w:tc>
        <w:tc>
          <w:tcPr/>
          <w:p>
            <w:pPr>
              <w:pStyle w:val="Compact"/>
              <w:jc w:val="left"/>
            </w:pPr>
            <w:r>
              <w:t xml:space="preserve">Scope 3 (Category 9)</w:t>
            </w:r>
          </w:p>
        </w:tc>
        <w:tc>
          <w:tcPr/>
          <w:p>
            <w:pPr>
              <w:pStyle w:val="Compact"/>
              <w:jc w:val="left"/>
            </w:pPr>
            <w:r>
              <w:t xml:space="preserve">Delivery of finished product to customer via \'Light Commercial Vehicle\' (assumed 50 km).</w:t>
            </w:r>
          </w:p>
        </w:tc>
        <w:tc>
          <w:tcPr/>
          <w:p>
            <w:pPr>
              <w:pStyle w:val="Compact"/>
              <w:jc w:val="left"/>
            </w:pPr>
            <w:r>
              <w:t xml:space="preserve">0.005</w:t>
            </w:r>
          </w:p>
        </w:tc>
      </w:tr>
      <w:tr>
        <w:tc>
          <w:tcPr/>
          <w:p>
            <w:pPr>
              <w:pStyle w:val="Compact"/>
              <w:jc w:val="left"/>
            </w:pPr>
            <w:r>
              <w:rPr>
                <w:bCs/>
                <w:b/>
              </w:rPr>
              <w:t xml:space="preserve">Use Phase</w:t>
            </w:r>
          </w:p>
        </w:tc>
        <w:tc>
          <w:tcPr/>
          <w:p>
            <w:pPr>
              <w:pStyle w:val="Compact"/>
              <w:jc w:val="left"/>
            </w:pPr>
            <w:r>
              <w:t xml:space="preserve">Scope 3 (Category 11)</w:t>
            </w:r>
          </w:p>
        </w:tc>
        <w:tc>
          <w:tcPr/>
          <w:p>
            <w:pPr>
              <w:pStyle w:val="Compact"/>
              <w:jc w:val="left"/>
            </w:pPr>
            <w:r>
              <w:t xml:space="preserve">Energy consumption during product use over `usviouyxqm` (3 years) with `rxetzhihwe` (10 kWh/year) energy consumption.</w:t>
            </w:r>
          </w:p>
        </w:tc>
        <w:tc>
          <w:tcPr/>
          <w:p>
            <w:pPr>
              <w:pStyle w:val="Compact"/>
              <w:jc w:val="left"/>
            </w:pPr>
            <w:r>
              <w:t xml:space="preserve">18.000</w:t>
            </w:r>
          </w:p>
        </w:tc>
      </w:tr>
      <w:tr>
        <w:tc>
          <w:tcPr/>
          <w:p>
            <w:pPr>
              <w:pStyle w:val="Compact"/>
              <w:jc w:val="left"/>
            </w:pPr>
            <w:r>
              <w:rPr>
                <w:bCs/>
                <w:b/>
              </w:rPr>
              <w:t xml:space="preserve">End-of-Life</w:t>
            </w:r>
          </w:p>
        </w:tc>
        <w:tc>
          <w:tcPr/>
          <w:p>
            <w:pPr>
              <w:pStyle w:val="Compact"/>
              <w:jc w:val="left"/>
            </w:pPr>
            <w:r>
              <w:t xml:space="preserve">Scope 3 (Category 12)</w:t>
            </w:r>
          </w:p>
        </w:tc>
        <w:tc>
          <w:tcPr/>
          <w:p>
            <w:pPr>
              <w:pStyle w:val="Compact"/>
              <w:jc w:val="left"/>
            </w:pPr>
            <w:r>
              <w:t xml:space="preserve">Treatment of product at end-of-life, accounting for `ytyezqqwzh` (70%) recyclability and `vsfslemltf` (advanced take-back programs).</w:t>
            </w:r>
          </w:p>
        </w:tc>
        <w:tc>
          <w:tcPr/>
          <w:p>
            <w:pPr>
              <w:pStyle w:val="Compact"/>
              <w:jc w:val="left"/>
            </w:pPr>
            <w:r>
              <w:t xml:space="preserve">0.180</w:t>
            </w:r>
          </w:p>
        </w:tc>
      </w:tr>
      <w:tr>
        <w:tc>
          <w:tcPr>
            <w:gridSpan w:val="3"/>
          </w:tcPr>
          <w:p>
            <w:pPr>
              <w:pStyle w:val="Compact"/>
              <w:jc w:val="right"/>
            </w:pPr>
            <w:r>
              <w:rPr>
                <w:bCs/>
                <w:b/>
              </w:rPr>
              <w:t xml:space="preserve">Total Product Carbon Footprint (PCF):</w:t>
            </w:r>
          </w:p>
        </w:tc>
        <w:tc>
          <w:tcPr/>
          <w:p>
            <w:pPr>
              <w:pStyle w:val="Compact"/>
              <w:jc w:val="left"/>
            </w:pPr>
            <w:r>
              <w:rPr>
                <w:bCs/>
                <w:b/>
              </w:rPr>
              <w:t xml:space="preserve">22.540 kg CO2e</w:t>
            </w:r>
          </w:p>
        </w:tc>
      </w:tr>
    </w:tbl>
    <w:p>
      <w:pPr>
        <w:pStyle w:val="BodyText"/>
      </w:pPr>
      <w:r>
        <w:rPr>
          <w:iCs/>
          <w:i/>
        </w:rPr>
        <w:t xml:space="preserve">Note: All emission factors are based on industry averages (e.g., Ecoinvent/DEFRA-equivalent values) as primary data was not available for specific suppliers. The values are illustrative demonstrations based on the provided parameters.</w:t>
      </w:r>
    </w:p>
    <w:bookmarkEnd w:id="30"/>
    <w:bookmarkStart w:id="31" w:name="hotspot-analysis"/>
    <w:p>
      <w:pPr>
        <w:pStyle w:val="Heading3"/>
      </w:pPr>
      <w:r>
        <w:t xml:space="preserve">4.2. Hotspot Analysis</w:t>
      </w:r>
    </w:p>
    <w:p>
      <w:pPr>
        <w:pStyle w:val="FirstParagraph"/>
      </w:pPr>
      <w:r>
        <w:t xml:space="preserve">The analysis reveals the following emission hotspots for euvhlzzmrn:</w:t>
      </w:r>
    </w:p>
    <w:p>
      <w:pPr>
        <w:numPr>
          <w:ilvl w:val="0"/>
          <w:numId w:val="1005"/>
        </w:numPr>
        <w:pStyle w:val="Compact"/>
      </w:pPr>
      <w:r>
        <w:rPr>
          <w:bCs/>
          <w:b/>
        </w:rPr>
        <w:t xml:space="preserve">Use Phase (18.00 kg CO2e - approx. 79.8% of total):</w:t>
      </w:r>
      <w:r>
        <w:t xml:space="preserve"> </w:t>
      </w:r>
      <w:r>
        <w:t xml:space="preserve">The most significant contributor to the product\'s PCF is the energy consumed during the product\'s 3-year lifespan. This is primarily due to the energy consumption of 10 kWh/year and the reliance on the general electricity grid mix during the use phase.</w:t>
      </w:r>
    </w:p>
    <w:p>
      <w:pPr>
        <w:numPr>
          <w:ilvl w:val="0"/>
          <w:numId w:val="1005"/>
        </w:numPr>
        <w:pStyle w:val="Compact"/>
      </w:pPr>
      <w:r>
        <w:rPr>
          <w:bCs/>
          <w:b/>
        </w:rPr>
        <w:t xml:space="preserve">Materials Acquisition &amp; Processing (3.065 kg CO2e - approx. 13.6% of total):</w:t>
      </w:r>
      <w:r>
        <w:t xml:space="preserve"> </w:t>
      </w:r>
      <w:r>
        <w:t xml:space="preserve">The production of components like the PCB (populated), Lithium-ion battery, and Aluminum Casing contribute substantially to the upstream footprint due to their inherent energy-intensive manufacturing processes and raw material extraction.</w:t>
      </w:r>
    </w:p>
    <w:p>
      <w:pPr>
        <w:numPr>
          <w:ilvl w:val="0"/>
          <w:numId w:val="1005"/>
        </w:numPr>
        <w:pStyle w:val="Compact"/>
      </w:pPr>
      <w:r>
        <w:rPr>
          <w:bCs/>
          <w:b/>
        </w:rPr>
        <w:t xml:space="preserve">Production (1.20 kg CO2e - approx. 5.3% of total):</w:t>
      </w:r>
      <w:r>
        <w:t xml:space="preserve"> </w:t>
      </w:r>
      <w:r>
        <w:t xml:space="preserve">While</w:t>
      </w:r>
      <w:r>
        <w:t xml:space="preserve"> </w:t>
      </w:r>
      <w:r>
        <w:rPr>
          <w:bCs/>
          <w:b/>
        </w:rPr>
        <w:t xml:space="preserve">xnxosthtmi</w:t>
      </w:r>
      <w:r>
        <w:t xml:space="preserve"> </w:t>
      </w:r>
      <w:r>
        <w:t xml:space="preserve">utilizes 60% renewable energy for production, the remaining 40% still contributes significantly due to the grid electricity emission factor in China.</w:t>
      </w:r>
    </w:p>
    <w:p>
      <w:pPr>
        <w:numPr>
          <w:ilvl w:val="0"/>
          <w:numId w:val="1005"/>
        </w:numPr>
        <w:pStyle w:val="Compact"/>
      </w:pPr>
      <w:r>
        <w:rPr>
          <w:bCs/>
          <w:b/>
        </w:rPr>
        <w:t xml:space="preserve">End-of-Life (0.18 kg CO2e - approx. 0.8% of total):</w:t>
      </w:r>
      <w:r>
        <w:t xml:space="preserve"> </w:t>
      </w:r>
      <w:r>
        <w:t xml:space="preserve">Despite a high recyclability percentage (70%) and advanced take-back programs, the non-recycled portion still contributes to the overall footprint.</w:t>
      </w:r>
    </w:p>
    <w:p>
      <w:pPr>
        <w:numPr>
          <w:ilvl w:val="0"/>
          <w:numId w:val="1005"/>
        </w:numPr>
        <w:pStyle w:val="Compact"/>
      </w:pPr>
      <w:r>
        <w:rPr>
          <w:bCs/>
          <w:b/>
        </w:rPr>
        <w:t xml:space="preserve">Transportation (Upstream &amp; Downstream - 0.095 kg CO2e - approx. 0.4% of total):</w:t>
      </w:r>
      <w:r>
        <w:t xml:space="preserve"> </w:t>
      </w:r>
      <w:r>
        <w:t xml:space="preserve">For a product of this assumed weight, transportation accounts for a relatively smaller portion, although it is still a relevant Scope 3 category to manage.</w:t>
      </w:r>
    </w:p>
    <w:p>
      <w:r>
        <w:pict>
          <v:rect style="width:0;height:1.5pt" o:hralign="center" o:hrstd="t" o:hr="t"/>
        </w:pict>
      </w:r>
    </w:p>
    <w:bookmarkEnd w:id="31"/>
    <w:bookmarkEnd w:id="32"/>
    <w:bookmarkStart w:id="33" w:name="recommendations-for-emission-reduction"/>
    <w:p>
      <w:pPr>
        <w:pStyle w:val="Heading2"/>
      </w:pPr>
      <w:r>
        <w:t xml:space="preserve">5. Recommendations for Emission Reduction</w:t>
      </w:r>
    </w:p>
    <w:p>
      <w:pPr>
        <w:pStyle w:val="FirstParagraph"/>
      </w:pPr>
      <w:r>
        <w:t xml:space="preserve">Based on the hotspot analysis,</w:t>
      </w:r>
      <w:r>
        <w:t xml:space="preserve"> </w:t>
      </w:r>
      <w:r>
        <w:rPr>
          <w:bCs/>
          <w:b/>
        </w:rPr>
        <w:t xml:space="preserve">xnxosthtmi</w:t>
      </w:r>
      <w:r>
        <w:t xml:space="preserve"> </w:t>
      </w:r>
      <w:r>
        <w:t xml:space="preserve">should prioritize the following strategies to reduce the PCF of euvhlzzmrn:</w:t>
      </w:r>
    </w:p>
    <w:p>
      <w:pPr>
        <w:numPr>
          <w:ilvl w:val="0"/>
          <w:numId w:val="1006"/>
        </w:numPr>
        <w:pStyle w:val="Compact"/>
      </w:pPr>
      <w:r>
        <w:rPr>
          <w:bCs/>
          <w:b/>
        </w:rPr>
        <w:t xml:space="preserve">Optimize Use Phase Energy Consumption:</w:t>
      </w:r>
    </w:p>
    <w:p>
      <w:pPr>
        <w:numPr>
          <w:ilvl w:val="1"/>
          <w:numId w:val="1007"/>
        </w:numPr>
        <w:pStyle w:val="Compact"/>
      </w:pPr>
      <w:r>
        <w:t xml:space="preserve">Explore design optimizations to reduce `rxetzhihwe` (energy consumption in use). This could include more energy-efficient components, power management features, or alternative power sources.</w:t>
      </w:r>
    </w:p>
    <w:p>
      <w:pPr>
        <w:numPr>
          <w:ilvl w:val="1"/>
          <w:numId w:val="1007"/>
        </w:numPr>
        <w:pStyle w:val="Compact"/>
      </w:pPr>
      <w:r>
        <w:t xml:space="preserve">Promote the use of renewable energy by end-users, potentially through partnerships or consumer education on low-carbon electricity options.</w:t>
      </w:r>
    </w:p>
    <w:p>
      <w:pPr>
        <w:numPr>
          <w:ilvl w:val="0"/>
          <w:numId w:val="1006"/>
        </w:numPr>
        <w:pStyle w:val="Compact"/>
      </w:pPr>
      <w:r>
        <w:rPr>
          <w:bCs/>
          <w:b/>
        </w:rPr>
        <w:t xml:space="preserve">Enhance Material Sustainability:</w:t>
      </w:r>
    </w:p>
    <w:p>
      <w:pPr>
        <w:numPr>
          <w:ilvl w:val="1"/>
          <w:numId w:val="1008"/>
        </w:numPr>
        <w:pStyle w:val="Compact"/>
      </w:pPr>
      <w:r>
        <w:t xml:space="preserve">Investigate alternative materials or suppliers with lower embodied carbon for high-impact components like PCBs, batteries, and aluminum.</w:t>
      </w:r>
    </w:p>
    <w:p>
      <w:pPr>
        <w:numPr>
          <w:ilvl w:val="1"/>
          <w:numId w:val="1008"/>
        </w:numPr>
        <w:pStyle w:val="Compact"/>
      </w:pPr>
      <w:r>
        <w:t xml:space="preserve">Collaborate with suppliers to improve the energy efficiency of their material production processes.</w:t>
      </w:r>
    </w:p>
    <w:p>
      <w:pPr>
        <w:numPr>
          <w:ilvl w:val="0"/>
          <w:numId w:val="1006"/>
        </w:numPr>
        <w:pStyle w:val="Compact"/>
      </w:pPr>
      <w:r>
        <w:rPr>
          <w:bCs/>
          <w:b/>
        </w:rPr>
        <w:t xml:space="preserve">Increase Renewable Energy in Production:</w:t>
      </w:r>
    </w:p>
    <w:p>
      <w:pPr>
        <w:numPr>
          <w:ilvl w:val="1"/>
          <w:numId w:val="1009"/>
        </w:numPr>
        <w:pStyle w:val="Compact"/>
      </w:pPr>
      <w:r>
        <w:t xml:space="preserve">Continue to increase the `mnqnzurofr` (renewable energy usage) beyond 60% at the production facility in China, potentially through on-site generation or power purchase agreements for certified renewable energy.</w:t>
      </w:r>
    </w:p>
    <w:p>
      <w:pPr>
        <w:numPr>
          <w:ilvl w:val="0"/>
          <w:numId w:val="1006"/>
        </w:numPr>
        <w:pStyle w:val="Compact"/>
      </w:pPr>
      <w:r>
        <w:rPr>
          <w:bCs/>
          <w:b/>
        </w:rPr>
        <w:t xml:space="preserve">Strengthen Circularity Programs:</w:t>
      </w:r>
    </w:p>
    <w:p>
      <w:pPr>
        <w:numPr>
          <w:ilvl w:val="1"/>
          <w:numId w:val="1010"/>
        </w:numPr>
        <w:pStyle w:val="Compact"/>
      </w:pPr>
      <w:r>
        <w:t xml:space="preserve">Further develop `vsfslemltf` (circular/take-back programs) to maximize the `ytyezqqwzh` (recyclability percentage) and explore opportunities for reuse and refurbishment to keep materials in circulation longer.</w:t>
      </w:r>
    </w:p>
    <w:p>
      <w:pPr>
        <w:numPr>
          <w:ilvl w:val="1"/>
          <w:numId w:val="1010"/>
        </w:numPr>
        <w:pStyle w:val="Compact"/>
      </w:pPr>
      <w:r>
        <w:t xml:space="preserve">Invest in infrastructure for advanced sorting and recycling of complex components, particularly batteries and electronics.</w:t>
      </w:r>
    </w:p>
    <w:p>
      <w:pPr>
        <w:numPr>
          <w:ilvl w:val="0"/>
          <w:numId w:val="1006"/>
        </w:numPr>
        <w:pStyle w:val="Compact"/>
      </w:pPr>
      <w:r>
        <w:rPr>
          <w:bCs/>
          <w:b/>
        </w:rPr>
        <w:t xml:space="preserve">Supply Chain Engagement for Upstream Transport:</w:t>
      </w:r>
    </w:p>
    <w:p>
      <w:pPr>
        <w:numPr>
          <w:ilvl w:val="1"/>
          <w:numId w:val="1011"/>
        </w:numPr>
        <w:pStyle w:val="Compact"/>
      </w:pPr>
      <w:r>
        <w:t xml:space="preserve">Work with logistics providers to optimize routes, consolidate shipments, and shift to lower-emission transport modes where feasible for `npqmmursuz` (transport distance) from Europe to China.</w:t>
      </w:r>
    </w:p>
    <w:p>
      <w:pPr>
        <w:numPr>
          <w:ilvl w:val="1"/>
          <w:numId w:val="1011"/>
        </w:numPr>
        <w:pStyle w:val="Compact"/>
      </w:pPr>
      <w:r>
        <w:t xml:space="preserve">Encourage suppliers to adopt more fuel-efficient vehicles or alternative fuels for inbound logistics.</w:t>
      </w:r>
    </w:p>
    <w:p>
      <w:r>
        <w:pict>
          <v:rect style="width:0;height:1.5pt" o:hralign="center" o:hrstd="t" o:hr="t"/>
        </w:pict>
      </w:r>
    </w:p>
    <w:bookmarkEnd w:id="33"/>
    <w:bookmarkStart w:id="34" w:name="conclusion"/>
    <w:p>
      <w:pPr>
        <w:pStyle w:val="Heading2"/>
      </w:pPr>
      <w:r>
        <w:t xml:space="preserve">6. Conclusion</w:t>
      </w:r>
    </w:p>
    <w:p>
      <w:pPr>
        <w:pStyle w:val="FirstParagraph"/>
      </w:pPr>
      <w:r>
        <w:t xml:space="preserve">The Product Carbon Footprint analysis for euvhlzzmrn, conducted in line with GHG Protocol standards and 2026 updates, provides a comprehensive understanding of its environmental impact. The total PCF of 22.54 kg CO2e per unit highlights the significant influence of the product\'s use phase, followed by material production and manufacturing energy. By addressing these hotspots through targeted interventions in design, energy sourcing, and circular economy strategies,</w:t>
      </w:r>
      <w:r>
        <w:t xml:space="preserve"> </w:t>
      </w:r>
      <w:r>
        <w:rPr>
          <w:bCs/>
          <w:b/>
        </w:rPr>
        <w:t xml:space="preserve">xnxosthtmi</w:t>
      </w:r>
      <w:r>
        <w:t xml:space="preserve"> </w:t>
      </w:r>
      <w:r>
        <w:t xml:space="preserve">can significantly reduce the environmental footprint of euvhlzzmrn and demonstrate leadership in sustainability.</w:t>
      </w:r>
    </w:p>
    <w:p>
      <w:r>
        <w:pict>
          <v:rect style="width:0;height:1.5pt" o:hralign="center" o:hrstd="t" o:hr="t"/>
        </w:pict>
      </w:r>
    </w:p>
    <w:p>
      <w:pPr>
        <w:pStyle w:val="FirstParagraph"/>
      </w:pPr>
      <w:r>
        <w:t xml:space="preserve">Confidential - Internal Use Only | Page</w:t>
      </w:r>
      <w:r>
        <w:t xml:space="preserve"> </w:t>
      </w:r>
      <w:r>
        <w:t xml:space="preserve">1</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euvhlzzmrn</dc:title>
  <dc:creator/>
  <dc:description>Detailed Product Carbon Footprint (PCF) analysis report for euvhlzzmrn, adhering to GHG Protocol standards and 2026 updates.</dc:description>
  <dc:language>en</dc:language>
  <cp:keywords/>
  <dcterms:created xsi:type="dcterms:W3CDTF">2026-07-15T04:50:06Z</dcterms:created>
  <dcterms:modified xsi:type="dcterms:W3CDTF">2026-07-15T04:50:06Z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