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Ethyl</w:t>
      </w:r>
      <w:r>
        <w:t xml:space="preserve"> </w:t>
      </w:r>
      <w:r>
        <w:t xml:space="preserve">Acetate</w:t>
      </w:r>
    </w:p>
    <w:p>
      <w:pPr>
        <w:pStyle w:val="FirstParagraph"/>
      </w:pPr>
      <w:r>
        <w:t xml:space="preserve">carboncalcpcf.com</w:t>
      </w:r>
    </w:p>
    <w:bookmarkStart w:id="20" w:name="X7c59b0f91b24cb3416aeebde08e13d82cc2294d"/>
    <w:p>
      <w:pPr>
        <w:pStyle w:val="Heading1"/>
      </w:pPr>
      <w:r>
        <w:t xml:space="preserve">Product Carbon Footprint Analysis: Ethyl Acetate</w:t>
      </w:r>
    </w:p>
    <w:p>
      <w:pPr>
        <w:pStyle w:val="FirstParagraph"/>
      </w:pPr>
      <w:r>
        <w:rPr>
          <w:bCs/>
          <w:b/>
        </w:rPr>
        <w:t xml:space="preserve">Accounting Standard:</w:t>
      </w:r>
      <w:r>
        <w:t xml:space="preserve"> </w:t>
      </w:r>
      <w:r>
        <w:t xml:space="preserve">GHG Protocol</w:t>
      </w:r>
    </w:p>
    <w:p>
      <w:pPr>
        <w:pStyle w:val="BodyText"/>
      </w:pPr>
      <w:r>
        <w:rPr>
          <w:bCs/>
          <w:b/>
        </w:rPr>
        <w:t xml:space="preserve">Prepared By:</w:t>
      </w:r>
      <w:r>
        <w:t xml:space="preserve"> </w:t>
      </w:r>
      <w:r>
        <w:t xml:space="preserve">Senior Sustainability Consultant</w:t>
      </w:r>
    </w:p>
    <w:p>
      <w:pPr>
        <w:pStyle w:val="BodyText"/>
      </w:pPr>
      <w:r>
        <w:t xml:space="preserve">This report is generated based on available data, industry standards, and reasonable assumptions. While every effort has been made to ensure accuracy, specific values may vary based on actual operational data and evolving methodologies.</w:t>
      </w:r>
    </w:p>
    <w:bookmarkEnd w:id="20"/>
    <w:bookmarkStart w:id="21" w:name="Xc5c6d4dc5cc21fee9c6fc9a7178f82a383175b2"/>
    <w:p>
      <w:pPr>
        <w:pStyle w:val="Heading1"/>
      </w:pPr>
      <w:r>
        <w:t xml:space="preserve">Product Carbon Footprint Analysis: Ethyl Acetate</w:t>
      </w:r>
    </w:p>
    <w:p>
      <w:pPr>
        <w:pStyle w:val="FirstParagraph"/>
      </w:pPr>
      <w:r>
        <w:t xml:space="preserve">Generated Date: September 17,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1.0 kg of Ethyl Acetate, adhering strictly to the GHG Protocol. The assessment focuses on a factory-gate system boundary for final production in Germany, with a supply chain focus on Europe. Emissions are categorized into Scope 1 (direct), Scope 2 (purchased energy), and Scope 3 (value chain), with a commitment to achieving at least 95% coverage for Scope 3 in line with 2026 requirements. The analysis incorporates the 2026 Land Sector and Removals (LSR) Standard update where applicable, particularly concerning bio-based raw materials. Key insights highlight the significant contribution of upstream raw material production and associated transportation to the overall PCF.</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Functional Unit:</w:t>
      </w:r>
    </w:p>
    <w:p>
      <w:pPr>
        <w:pStyle w:val="FirstParagraph"/>
      </w:pPr>
      <w:r>
        <w:t xml:space="preserve">The functional unit for this Product Carbon Footprint (PCF) analysis is 1.0 kg of Ethyl Acetate (CH₃COOC₂H₅).</w:t>
      </w:r>
    </w:p>
    <w:bookmarkEnd w:id="23"/>
    <w:bookmarkStart w:id="24" w:name="system-boundary"/>
    <w:p>
      <w:pPr>
        <w:pStyle w:val="Heading3"/>
      </w:pPr>
      <w:r>
        <w:t xml:space="preserve">System Boundary:</w:t>
      </w:r>
    </w:p>
    <w:p>
      <w:pPr>
        <w:pStyle w:val="FirstParagraph"/>
      </w:pPr>
      <w:r>
        <w:t xml:space="preserve">The system boundary is defined as "factory_gate." This includes all cradle-to-gate emissions associated with the raw material acquisition, transport, manufacturing processes of intermediate chemicals, and the final production of ethyl acetate, up to the point it leaves the final production facility in Germany, including its primary packaging. Emissions from the use phase or end-of-life of the product are excluded from this analysis.</w:t>
      </w:r>
    </w:p>
    <w:bookmarkEnd w:id="24"/>
    <w:bookmarkStart w:id="25"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Germany</w:t>
      </w:r>
    </w:p>
    <w:p>
      <w:pPr>
        <w:numPr>
          <w:ilvl w:val="0"/>
          <w:numId w:val="1001"/>
        </w:numPr>
        <w:pStyle w:val="Compact"/>
      </w:pPr>
      <w:r>
        <w:rPr>
          <w:bCs/>
          <w:b/>
        </w:rPr>
        <w:t xml:space="preserve">Supply Chain Focus:</w:t>
      </w:r>
      <w:r>
        <w:t xml:space="preserve"> </w:t>
      </w:r>
      <w:r>
        <w:t xml:space="preserve">Europe Focused</w:t>
      </w:r>
    </w:p>
    <w:bookmarkEnd w:id="25"/>
    <w:bookmarkStart w:id="26" w:name="accounting-standard"/>
    <w:p>
      <w:pPr>
        <w:pStyle w:val="Heading3"/>
      </w:pPr>
      <w:r>
        <w:t xml:space="preserve">Accounting Standard:</w:t>
      </w:r>
    </w:p>
    <w:p>
      <w:pPr>
        <w:pStyle w:val="FirstParagraph"/>
      </w:pPr>
      <w:r>
        <w:t xml:space="preserve">This PCF analysis is conducted in accordance with the</w:t>
      </w:r>
      <w:r>
        <w:t xml:space="preserve"> </w:t>
      </w:r>
      <w:r>
        <w:rPr>
          <w:bCs/>
          <w:b/>
        </w:rPr>
        <w:t xml:space="preserve">GHG Protocol (Greenhouse Gas Protocol)</w:t>
      </w:r>
      <w:r>
        <w:t xml:space="preserve">. Emissions are systematically categorized into Scope 1, Scope 2, and Scope 3 to provide a comprehensive view of greenhouse gas emissions across the value chain. The analysis also considers the 2026 Land Sector and Removals (LSR) Standard update, especially for bio-based inputs.</w:t>
      </w:r>
    </w:p>
    <w:bookmarkEnd w:id="26"/>
    <w:bookmarkStart w:id="27" w:name="allocation"/>
    <w:p>
      <w:pPr>
        <w:pStyle w:val="Heading3"/>
      </w:pPr>
      <w:r>
        <w:t xml:space="preserve">Allocation:</w:t>
      </w:r>
    </w:p>
    <w:p>
      <w:pPr>
        <w:pStyle w:val="FirstParagraph"/>
      </w:pPr>
      <w:r>
        <w:t xml:space="preserve">Where co-products or by-products exist in the supply chain, mass-based allocation has been applied for simplicity in this high-level assessment. For electricity generation, supplier-specific or national grid mix data has been used.</w:t>
      </w:r>
    </w:p>
    <w:p>
      <w:r>
        <w:pict>
          <v:rect style="width:0;height:1.5pt" o:hralign="center" o:hrstd="t" o:hr="t"/>
        </w:pict>
      </w:r>
    </w:p>
    <w:bookmarkEnd w:id="27"/>
    <w:bookmarkEnd w:id="28"/>
    <w:bookmarkStart w:id="31" w:name="X9b3f95e3515408304ff4a9cec9842f2424d7a20"/>
    <w:p>
      <w:pPr>
        <w:pStyle w:val="Heading2"/>
      </w:pPr>
      <w:r>
        <w:t xml:space="preserve">2. Map Lifecycle (LCI Inventory Stages) &amp; 3. Collect Data (Primary/Secondary Data Points)</w:t>
      </w:r>
    </w:p>
    <w:p>
      <w:pPr>
        <w:pStyle w:val="FirstParagraph"/>
      </w:pPr>
      <w:r>
        <w:t xml:space="preserve">The production of ethyl acetate primarily involves the Fischer esterification of ethanol and acetic acid, catalyzed by sulfuric acid. This process includes several stages: raw material acquisition, precursor chemical manufacturing, chemical synthesis, purification, and packaging. Energy inputs are critical throughout these stages.</w:t>
      </w:r>
    </w:p>
    <w:bookmarkStart w:id="29" w:name="lifecycle-stages-and-key-inputs"/>
    <w:p>
      <w:pPr>
        <w:pStyle w:val="Heading3"/>
      </w:pPr>
      <w:r>
        <w:t xml:space="preserve">Lifecycle Stages and Key Inputs:</w:t>
      </w:r>
    </w:p>
    <w:p>
      <w:pPr>
        <w:numPr>
          <w:ilvl w:val="0"/>
          <w:numId w:val="1002"/>
        </w:numPr>
        <w:pStyle w:val="Compact"/>
      </w:pPr>
      <w:r>
        <w:rPr>
          <w:bCs/>
          <w:b/>
        </w:rPr>
        <w:t xml:space="preserve">Raw Material Acquisition &amp; Precursor Manufacturing (Scope 3, Category 1 - Purchased Goods and Services):</w:t>
      </w:r>
    </w:p>
    <w:p>
      <w:pPr>
        <w:numPr>
          <w:ilvl w:val="1"/>
          <w:numId w:val="1003"/>
        </w:numPr>
        <w:pStyle w:val="Compact"/>
      </w:pPr>
      <w:r>
        <w:rPr>
          <w:bCs/>
          <w:b/>
        </w:rPr>
        <w:t xml:space="preserve">Acetic Acid Production:</w:t>
      </w:r>
      <w:r>
        <w:t xml:space="preserve"> </w:t>
      </w:r>
      <w:r>
        <w:t xml:space="preserve">Typically manufactured via methanol carbonylation in Europe. Raw materials for methanol (often from natural gas) and carbon monoxide are implicitly included in the acetic acid emission factor.</w:t>
      </w:r>
    </w:p>
    <w:p>
      <w:pPr>
        <w:numPr>
          <w:ilvl w:val="1"/>
          <w:numId w:val="1003"/>
        </w:numPr>
        <w:pStyle w:val="Compact"/>
      </w:pPr>
      <w:r>
        <w:rPr>
          <w:bCs/>
          <w:b/>
        </w:rPr>
        <w:t xml:space="preserve">Ethanol Production:</w:t>
      </w:r>
      <w:r>
        <w:t xml:space="preserve"> </w:t>
      </w:r>
      <w:r>
        <w:t xml:space="preserve">For a European focus, renewable ethanol from the fermentation of biomass (e.g., corn, wheat, sugar beet) is a common feedstock. The upstream agricultural processes and energy for fermentation are key inputs here.</w:t>
      </w:r>
    </w:p>
    <w:p>
      <w:pPr>
        <w:numPr>
          <w:ilvl w:val="1"/>
          <w:numId w:val="1003"/>
        </w:numPr>
        <w:pStyle w:val="Compact"/>
      </w:pPr>
      <w:r>
        <w:rPr>
          <w:bCs/>
          <w:b/>
        </w:rPr>
        <w:t xml:space="preserve">Sulfuric Acid Production:</w:t>
      </w:r>
      <w:r>
        <w:t xml:space="preserve"> </w:t>
      </w:r>
      <w:r>
        <w:t xml:space="preserve">Produced via the contact process, involving sulfur oxidation. Upstream energy and sulfur mining are considered.</w:t>
      </w:r>
    </w:p>
    <w:p>
      <w:pPr>
        <w:numPr>
          <w:ilvl w:val="0"/>
          <w:numId w:val="1002"/>
        </w:numPr>
        <w:pStyle w:val="Compact"/>
      </w:pPr>
      <w:r>
        <w:rPr>
          <w:bCs/>
          <w:b/>
        </w:rPr>
        <w:t xml:space="preserve">Raw Material Transportation (Scope 3, Category 4 - Upstream Transportation and Distribution):</w:t>
      </w:r>
    </w:p>
    <w:p>
      <w:pPr>
        <w:numPr>
          <w:ilvl w:val="1"/>
          <w:numId w:val="1004"/>
        </w:numPr>
        <w:pStyle w:val="Compact"/>
      </w:pPr>
      <w:r>
        <w:t xml:space="preserve">Transportation of acetic acid, ethanol, and sulfuric acid to the ethyl acetate production facility in Germany. The specified transport mode is sea freight over a distance of 1000 km.</w:t>
      </w:r>
    </w:p>
    <w:p>
      <w:pPr>
        <w:numPr>
          <w:ilvl w:val="0"/>
          <w:numId w:val="1002"/>
        </w:numPr>
        <w:pStyle w:val="Compact"/>
      </w:pPr>
      <w:r>
        <w:rPr>
          <w:bCs/>
          <w:b/>
        </w:rPr>
        <w:t xml:space="preserve">Ethyl Acetate Synthesis &amp; Purification (Scope 1, Scope 2, Scope 3 - Capital Goods, Waste):</w:t>
      </w:r>
    </w:p>
    <w:p>
      <w:pPr>
        <w:numPr>
          <w:ilvl w:val="1"/>
          <w:numId w:val="1005"/>
        </w:numPr>
        <w:pStyle w:val="Compact"/>
      </w:pPr>
      <w:r>
        <w:rPr>
          <w:bCs/>
          <w:b/>
        </w:rPr>
        <w:t xml:space="preserve">Chemical Reaction:</w:t>
      </w:r>
      <w:r>
        <w:t xml:space="preserve"> </w:t>
      </w:r>
      <w:r>
        <w:t xml:space="preserve">Ethanol reacts with acetic acid in the presence of a sulfuric acid catalyst. This is an exothermic reaction but requires energy for heating and maintaining reaction conditions.</w:t>
      </w:r>
    </w:p>
    <w:p>
      <w:pPr>
        <w:numPr>
          <w:ilvl w:val="1"/>
          <w:numId w:val="1005"/>
        </w:numPr>
        <w:pStyle w:val="Compact"/>
      </w:pPr>
      <w:r>
        <w:rPr>
          <w:bCs/>
          <w:b/>
        </w:rPr>
        <w:t xml:space="preserve">Separation &amp; Purification:</w:t>
      </w:r>
      <w:r>
        <w:t xml:space="preserve"> </w:t>
      </w:r>
      <w:r>
        <w:t xml:space="preserve">Energy-intensive distillation steps are crucial to separate ethyl acetate from water, unreacted reactants, and by-products. This process requires significant thermal and electrical energy.</w:t>
      </w:r>
    </w:p>
    <w:p>
      <w:pPr>
        <w:numPr>
          <w:ilvl w:val="1"/>
          <w:numId w:val="1005"/>
        </w:numPr>
        <w:pStyle w:val="Compact"/>
      </w:pPr>
      <w:r>
        <w:rPr>
          <w:bCs/>
          <w:b/>
        </w:rPr>
        <w:t xml:space="preserve">Energy Consumption:</w:t>
      </w:r>
      <w:r>
        <w:t xml:space="preserve"> </w:t>
      </w:r>
      <w:r>
        <w:t xml:space="preserve">Purchased electricity (Scope 2) for pumps, cooling, and controls, and thermal energy (e.g., natural gas combustion - Scope 1) for heating and distillation.</w:t>
      </w:r>
    </w:p>
    <w:p>
      <w:pPr>
        <w:numPr>
          <w:ilvl w:val="1"/>
          <w:numId w:val="1005"/>
        </w:numPr>
        <w:pStyle w:val="Compact"/>
      </w:pPr>
      <w:r>
        <w:rPr>
          <w:bCs/>
          <w:b/>
        </w:rPr>
        <w:t xml:space="preserve">Waste Management:</w:t>
      </w:r>
      <w:r>
        <w:t xml:space="preserve"> </w:t>
      </w:r>
      <w:r>
        <w:t xml:space="preserve">Minor waste streams from purification (Scope 3, Category 5 - Waste Generated in Operations) and catalyst disposal.</w:t>
      </w:r>
    </w:p>
    <w:p>
      <w:pPr>
        <w:numPr>
          <w:ilvl w:val="0"/>
          <w:numId w:val="1002"/>
        </w:numPr>
        <w:pStyle w:val="Compact"/>
      </w:pPr>
      <w:r>
        <w:rPr>
          <w:bCs/>
          <w:b/>
        </w:rPr>
        <w:t xml:space="preserve">Primary Packaging (Scope 3, Category 1 - Purchased Goods and Services):</w:t>
      </w:r>
    </w:p>
    <w:p>
      <w:pPr>
        <w:numPr>
          <w:ilvl w:val="1"/>
          <w:numId w:val="1006"/>
        </w:numPr>
        <w:pStyle w:val="Compact"/>
      </w:pPr>
      <w:r>
        <w:t xml:space="preserve">Packaging materials for the finished ethyl acetate product as it leaves the factory gate. Common industrial packaging includes steel drums, IBCs, or ISO tanks, often with specific linings.</w:t>
      </w:r>
    </w:p>
    <w:bookmarkEnd w:id="29"/>
    <w:bookmarkStart w:id="30" w:name="X57e53815b2e96c06eb7e059a86bc660880343ef"/>
    <w:p>
      <w:pPr>
        <w:pStyle w:val="Heading3"/>
      </w:pPr>
      <w:r>
        <w:t xml:space="preserve">Detailed Material and Energy Inputs (per 1.0 kg Ethyl Acetate):</w:t>
      </w:r>
    </w:p>
    <w:p>
      <w:pPr>
        <w:pStyle w:val="FirstParagraph"/>
      </w:pPr>
      <w:r>
        <w:t xml:space="preserve">Based on typical industrial processes and assuming an efficient reaction yield of ~99% for ethyl acetate from its precursors:</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Input Material/Energy</w:t>
            </w:r>
          </w:p>
        </w:tc>
        <w:tc>
          <w:tcPr/>
          <w:p>
            <w:pPr>
              <w:pStyle w:val="Compact"/>
              <w:jc w:val="left"/>
            </w:pPr>
            <w:r>
              <w:t xml:space="preserve">Quantity per 1.0 kg Ethyl Acetate</w:t>
            </w:r>
          </w:p>
        </w:tc>
        <w:tc>
          <w:tcPr/>
          <w:p>
            <w:pPr>
              <w:pStyle w:val="Compact"/>
              <w:jc w:val="left"/>
            </w:pPr>
            <w:r>
              <w:t xml:space="preserve">Scope</w:t>
            </w:r>
          </w:p>
        </w:tc>
        <w:tc>
          <w:tcPr/>
          <w:p>
            <w:pPr>
              <w:pStyle w:val="Compact"/>
              <w:jc w:val="left"/>
            </w:pPr>
            <w:r>
              <w:t xml:space="preserve">Notes</w:t>
            </w:r>
          </w:p>
        </w:tc>
      </w:tr>
      <w:tr>
        <w:tc>
          <w:tcPr/>
          <w:p>
            <w:pPr>
              <w:pStyle w:val="Compact"/>
              <w:jc w:val="left"/>
            </w:pPr>
            <w:r>
              <w:rPr>
                <w:bCs/>
                <w:b/>
              </w:rPr>
              <w:t xml:space="preserve">Raw Materials:</w:t>
            </w:r>
          </w:p>
        </w:tc>
        <w:tc>
          <w:tcPr/>
          <w:p>
            <w:pPr>
              <w:pStyle w:val="Compact"/>
            </w:pPr>
          </w:p>
        </w:tc>
        <w:tc>
          <w:tcPr/>
          <w:p>
            <w:pPr>
              <w:pStyle w:val="Compact"/>
            </w:pPr>
          </w:p>
        </w:tc>
        <w:tc>
          <w:tcPr/>
          <w:p>
            <w:pPr>
              <w:pStyle w:val="Compact"/>
            </w:pPr>
          </w:p>
        </w:tc>
      </w:tr>
      <w:tr>
        <w:tc>
          <w:tcPr/>
          <w:p>
            <w:pPr>
              <w:pStyle w:val="Compact"/>
              <w:jc w:val="left"/>
            </w:pPr>
            <w:r>
              <w:t xml:space="preserve">Acetic Acid</w:t>
            </w:r>
          </w:p>
        </w:tc>
        <w:tc>
          <w:tcPr/>
          <w:p>
            <w:pPr>
              <w:pStyle w:val="Compact"/>
              <w:jc w:val="left"/>
            </w:pPr>
            <w:r>
              <w:t xml:space="preserve">0.676 kg</w:t>
            </w:r>
          </w:p>
        </w:tc>
        <w:tc>
          <w:tcPr/>
          <w:p>
            <w:pPr>
              <w:pStyle w:val="Compact"/>
              <w:jc w:val="left"/>
            </w:pPr>
            <w:r>
              <w:t xml:space="preserve">Scope 3 (Category 1)</w:t>
            </w:r>
          </w:p>
        </w:tc>
        <w:tc>
          <w:tcPr/>
          <w:p>
            <w:pPr>
              <w:pStyle w:val="Compact"/>
              <w:jc w:val="left"/>
            </w:pPr>
            <w:r>
              <w:t xml:space="preserve">Stoichiometric and typical industrial requirement.</w:t>
            </w:r>
          </w:p>
        </w:tc>
      </w:tr>
      <w:tr>
        <w:tc>
          <w:tcPr/>
          <w:p>
            <w:pPr>
              <w:pStyle w:val="Compact"/>
              <w:jc w:val="left"/>
            </w:pPr>
            <w:r>
              <w:t xml:space="preserve">Ethanol</w:t>
            </w:r>
          </w:p>
        </w:tc>
        <w:tc>
          <w:tcPr/>
          <w:p>
            <w:pPr>
              <w:pStyle w:val="Compact"/>
              <w:jc w:val="left"/>
            </w:pPr>
            <w:r>
              <w:t xml:space="preserve">0.531 kg</w:t>
            </w:r>
          </w:p>
        </w:tc>
        <w:tc>
          <w:tcPr/>
          <w:p>
            <w:pPr>
              <w:pStyle w:val="Compact"/>
              <w:jc w:val="left"/>
            </w:pPr>
            <w:r>
              <w:t xml:space="preserve">Scope 3 (Category 1)</w:t>
            </w:r>
          </w:p>
        </w:tc>
        <w:tc>
          <w:tcPr/>
          <w:p>
            <w:pPr>
              <w:pStyle w:val="Compact"/>
              <w:jc w:val="left"/>
            </w:pPr>
            <w:r>
              <w:t xml:space="preserve">Stoichiometric and typical industrial requirement.</w:t>
            </w:r>
          </w:p>
        </w:tc>
      </w:tr>
      <w:tr>
        <w:tc>
          <w:tcPr/>
          <w:p>
            <w:pPr>
              <w:pStyle w:val="Compact"/>
              <w:jc w:val="left"/>
            </w:pPr>
            <w:r>
              <w:t xml:space="preserve">Sulfuric Acid (catalyst)</w:t>
            </w:r>
          </w:p>
        </w:tc>
        <w:tc>
          <w:tcPr/>
          <w:p>
            <w:pPr>
              <w:pStyle w:val="Compact"/>
              <w:jc w:val="left"/>
            </w:pPr>
            <w:r>
              <w:t xml:space="preserve">0.0001 kg</w:t>
            </w:r>
          </w:p>
        </w:tc>
        <w:tc>
          <w:tcPr/>
          <w:p>
            <w:pPr>
              <w:pStyle w:val="Compact"/>
              <w:jc w:val="left"/>
            </w:pPr>
            <w:r>
              <w:t xml:space="preserve">Scope 3 (Category 1)</w:t>
            </w:r>
          </w:p>
        </w:tc>
        <w:tc>
          <w:tcPr/>
          <w:p>
            <w:pPr>
              <w:pStyle w:val="Compact"/>
              <w:jc w:val="left"/>
            </w:pPr>
            <w:r>
              <w:t xml:space="preserve">Catalytic amount.</w:t>
            </w:r>
          </w:p>
        </w:tc>
      </w:tr>
      <w:tr>
        <w:tc>
          <w:tcPr/>
          <w:p>
            <w:pPr>
              <w:pStyle w:val="Compact"/>
              <w:jc w:val="left"/>
            </w:pPr>
            <w:r>
              <w:rPr>
                <w:bCs/>
                <w:b/>
              </w:rPr>
              <w:t xml:space="preserve">Energy Inputs (for Synthesis &amp; Purification):</w:t>
            </w:r>
          </w:p>
        </w:tc>
        <w:tc>
          <w:tcPr/>
          <w:p>
            <w:pPr>
              <w:pStyle w:val="Compact"/>
            </w:pPr>
          </w:p>
        </w:tc>
        <w:tc>
          <w:tcPr/>
          <w:p>
            <w:pPr>
              <w:pStyle w:val="Compact"/>
            </w:pPr>
          </w:p>
        </w:tc>
        <w:tc>
          <w:tcPr/>
          <w:p>
            <w:pPr>
              <w:pStyle w:val="Compact"/>
            </w:pPr>
          </w:p>
        </w:tc>
      </w:tr>
      <w:tr>
        <w:tc>
          <w:tcPr/>
          <w:p>
            <w:pPr>
              <w:pStyle w:val="Compact"/>
              <w:jc w:val="left"/>
            </w:pPr>
            <w:r>
              <w:t xml:space="preserve">Electricity (Germany grid)</w:t>
            </w:r>
          </w:p>
        </w:tc>
        <w:tc>
          <w:tcPr/>
          <w:p>
            <w:pPr>
              <w:pStyle w:val="Compact"/>
              <w:jc w:val="left"/>
            </w:pPr>
            <w:r>
              <w:t xml:space="preserve">3 kWh</w:t>
            </w:r>
          </w:p>
        </w:tc>
        <w:tc>
          <w:tcPr/>
          <w:p>
            <w:pPr>
              <w:pStyle w:val="Compact"/>
              <w:jc w:val="left"/>
            </w:pPr>
            <w:r>
              <w:t xml:space="preserve">Scope 2</w:t>
            </w:r>
          </w:p>
        </w:tc>
        <w:tc>
          <w:tcPr/>
          <w:p>
            <w:pPr>
              <w:pStyle w:val="Compact"/>
              <w:jc w:val="left"/>
            </w:pPr>
            <w:r>
              <w:t xml:space="preserve">Estimated for process operations, pumps, cooling.</w:t>
            </w:r>
          </w:p>
        </w:tc>
      </w:tr>
      <w:tr>
        <w:tc>
          <w:tcPr/>
          <w:p>
            <w:pPr>
              <w:pStyle w:val="Compact"/>
              <w:jc w:val="left"/>
            </w:pPr>
            <w:r>
              <w:t xml:space="preserve">Natural Gas (thermal energy)</w:t>
            </w:r>
          </w:p>
        </w:tc>
        <w:tc>
          <w:tcPr/>
          <w:p>
            <w:pPr>
              <w:pStyle w:val="Compact"/>
              <w:jc w:val="left"/>
            </w:pPr>
            <w:r>
              <w:t xml:space="preserve">5 kWh</w:t>
            </w:r>
          </w:p>
        </w:tc>
        <w:tc>
          <w:tcPr/>
          <w:p>
            <w:pPr>
              <w:pStyle w:val="Compact"/>
              <w:jc w:val="left"/>
            </w:pPr>
            <w:r>
              <w:t xml:space="preserve">Scope 1</w:t>
            </w:r>
          </w:p>
        </w:tc>
        <w:tc>
          <w:tcPr/>
          <w:p>
            <w:pPr>
              <w:pStyle w:val="Compact"/>
              <w:jc w:val="left"/>
            </w:pPr>
            <w:r>
              <w:t xml:space="preserve">Estimated for heating, distillation, steam generation.</w:t>
            </w:r>
          </w:p>
        </w:tc>
      </w:tr>
      <w:tr>
        <w:tc>
          <w:tcPr/>
          <w:p>
            <w:pPr>
              <w:pStyle w:val="Compact"/>
              <w:jc w:val="left"/>
            </w:pPr>
            <w:r>
              <w:rPr>
                <w:bCs/>
                <w:b/>
              </w:rPr>
              <w:t xml:space="preserve">Packaging (Primary, at factory gate):</w:t>
            </w:r>
          </w:p>
        </w:tc>
        <w:tc>
          <w:tcPr/>
          <w:p>
            <w:pPr>
              <w:pStyle w:val="Compact"/>
            </w:pPr>
          </w:p>
        </w:tc>
        <w:tc>
          <w:tcPr/>
          <w:p>
            <w:pPr>
              <w:pStyle w:val="Compact"/>
            </w:pPr>
          </w:p>
        </w:tc>
        <w:tc>
          <w:tcPr/>
          <w:p>
            <w:pPr>
              <w:pStyle w:val="Compact"/>
            </w:pPr>
          </w:p>
        </w:tc>
      </w:tr>
      <w:tr>
        <w:tc>
          <w:tcPr/>
          <w:p>
            <w:pPr>
              <w:pStyle w:val="Compact"/>
              <w:jc w:val="left"/>
            </w:pPr>
            <w:r>
              <w:t xml:space="preserve">HDPE (e.g., for drum liner/small container share)</w:t>
            </w:r>
          </w:p>
        </w:tc>
        <w:tc>
          <w:tcPr/>
          <w:p>
            <w:pPr>
              <w:pStyle w:val="Compact"/>
              <w:jc w:val="left"/>
            </w:pPr>
            <w:r>
              <w:t xml:space="preserve">0.01 kg</w:t>
            </w:r>
          </w:p>
        </w:tc>
        <w:tc>
          <w:tcPr/>
          <w:p>
            <w:pPr>
              <w:pStyle w:val="Compact"/>
              <w:jc w:val="left"/>
            </w:pPr>
            <w:r>
              <w:t xml:space="preserve">Scope 3 (Category 1)</w:t>
            </w:r>
          </w:p>
        </w:tc>
        <w:tc>
          <w:tcPr/>
          <w:p>
            <w:pPr>
              <w:pStyle w:val="Compact"/>
              <w:jc w:val="left"/>
            </w:pPr>
            <w:r>
              <w:t xml:space="preserve">Representative of primary packaging material for 1 kg of product within a larger batch.</w:t>
            </w:r>
          </w:p>
        </w:tc>
      </w:tr>
      <w:tr>
        <w:tc>
          <w:tcPr/>
          <w:p>
            <w:pPr>
              <w:pStyle w:val="Compact"/>
              <w:jc w:val="left"/>
            </w:pPr>
            <w:r>
              <w:rPr>
                <w:bCs/>
                <w:b/>
              </w:rPr>
              <w:t xml:space="preserve">Transport (Sea, 1000 km, for Raw Materials):</w:t>
            </w:r>
          </w:p>
        </w:tc>
        <w:tc>
          <w:tcPr/>
          <w:p>
            <w:pPr>
              <w:pStyle w:val="Compact"/>
              <w:jc w:val="left"/>
            </w:pPr>
            <w:r>
              <w:t xml:space="preserve">Total mass transported:</w:t>
            </w:r>
            <w:r>
              <w:br/>
            </w:r>
            <w:r>
              <w:t xml:space="preserve">(0.676 + 0.531 + 0.0001) kg = 1.2071 kg</w:t>
            </w:r>
          </w:p>
        </w:tc>
        <w:tc>
          <w:tcPr/>
          <w:p>
            <w:pPr>
              <w:pStyle w:val="Compact"/>
              <w:jc w:val="left"/>
            </w:pPr>
            <w:r>
              <w:t xml:space="preserve">Scope 3 (Category 4)</w:t>
            </w:r>
          </w:p>
        </w:tc>
        <w:tc>
          <w:tcPr/>
          <w:p>
            <w:pPr>
              <w:pStyle w:val="Compact"/>
              <w:jc w:val="left"/>
            </w:pPr>
            <w:r>
              <w:t xml:space="preserve">Applies to the total mass of raw materials required to produce 1 kg of ethyl acetate.</w:t>
            </w:r>
          </w:p>
        </w:tc>
      </w:tr>
    </w:tbl>
    <w:p>
      <w:r>
        <w:pict>
          <v:rect style="width:0;height:1.5pt" o:hralign="center" o:hrstd="t" o:hr="t"/>
        </w:pict>
      </w:r>
    </w:p>
    <w:bookmarkEnd w:id="30"/>
    <w:bookmarkEnd w:id="31"/>
    <w:bookmarkStart w:id="35" w:name="calculate-emissions"/>
    <w:p>
      <w:pPr>
        <w:pStyle w:val="Heading2"/>
      </w:pPr>
      <w:r>
        <w:t xml:space="preserve">4. Calculate Emissions</w:t>
      </w:r>
    </w:p>
    <w:p>
      <w:pPr>
        <w:pStyle w:val="FirstParagraph"/>
      </w:pPr>
      <w:r>
        <w:t xml:space="preserve">Emissions are calculated using the formula: Activity Data × Emission Factor = CO₂e. Industry-standard emission factors, primarily sourced from publicly available data aligned with Ecoinvent and DEFRA principles, are applied. The 2026 LSR update is acknowledged for bio-based inputs, with the chosen ethanol factor implicitly reflecting its reduced impact. Scope 3 coverage aims for at least 95%.</w:t>
      </w:r>
    </w:p>
    <w:bookmarkStart w:id="32" w:name="Xd2ad80ce67a3e904891e55e634ad27848f29148"/>
    <w:p>
      <w:pPr>
        <w:pStyle w:val="Heading3"/>
      </w:pPr>
      <w:r>
        <w:t xml:space="preserve">Emission Factors Used (Representative Values for 2024-2026):</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Activity/Material</w:t>
            </w:r>
          </w:p>
        </w:tc>
        <w:tc>
          <w:tcPr/>
          <w:p>
            <w:pPr>
              <w:pStyle w:val="Compact"/>
              <w:jc w:val="left"/>
            </w:pPr>
            <w:r>
              <w:t xml:space="preserve">Emission Factor (kg CO₂e / unit)</w:t>
            </w:r>
          </w:p>
        </w:tc>
        <w:tc>
          <w:tcPr/>
          <w:p>
            <w:pPr>
              <w:pStyle w:val="Compact"/>
              <w:jc w:val="left"/>
            </w:pPr>
            <w:r>
              <w:t xml:space="preserve">Source/Basis</w:t>
            </w:r>
          </w:p>
        </w:tc>
        <w:tc>
          <w:tcPr/>
          <w:p>
            <w:pPr>
              <w:pStyle w:val="Compact"/>
              <w:jc w:val="left"/>
            </w:pPr>
            <w:r>
              <w:t xml:space="preserve">Notes</w:t>
            </w:r>
          </w:p>
        </w:tc>
      </w:tr>
      <w:tr>
        <w:tc>
          <w:tcPr/>
          <w:p>
            <w:pPr>
              <w:pStyle w:val="Compact"/>
              <w:jc w:val="left"/>
            </w:pPr>
            <w:r>
              <w:t xml:space="preserve">Electricity (Germany grid)</w:t>
            </w:r>
          </w:p>
        </w:tc>
        <w:tc>
          <w:tcPr/>
          <w:p>
            <w:pPr>
              <w:pStyle w:val="Compact"/>
              <w:jc w:val="left"/>
            </w:pPr>
            <w:r>
              <w:t xml:space="preserve">0.364 kg CO₂e / kWh</w:t>
            </w:r>
          </w:p>
        </w:tc>
        <w:tc>
          <w:tcPr/>
          <w:p>
            <w:pPr>
              <w:pStyle w:val="Compact"/>
              <w:jc w:val="left"/>
            </w:pPr>
            <w:r>
              <w:t xml:space="preserve">DEFRA/EEA (2024 data)</w:t>
            </w:r>
          </w:p>
        </w:tc>
        <w:tc>
          <w:tcPr/>
          <w:p>
            <w:pPr>
              <w:pStyle w:val="Compact"/>
              <w:jc w:val="left"/>
            </w:pPr>
            <w:r>
              <w:t xml:space="preserve">Reflects Germany\'s mixed, transitioning grid.</w:t>
            </w:r>
          </w:p>
        </w:tc>
      </w:tr>
      <w:tr>
        <w:tc>
          <w:tcPr/>
          <w:p>
            <w:pPr>
              <w:pStyle w:val="Compact"/>
              <w:jc w:val="left"/>
            </w:pPr>
            <w:r>
              <w:t xml:space="preserve">Natural Gas (thermal, Europe)</w:t>
            </w:r>
          </w:p>
        </w:tc>
        <w:tc>
          <w:tcPr/>
          <w:p>
            <w:pPr>
              <w:pStyle w:val="Compact"/>
              <w:jc w:val="left"/>
            </w:pPr>
            <w:r>
              <w:t xml:space="preserve">0.244 kg CO₂e / kWh</w:t>
            </w:r>
          </w:p>
        </w:tc>
        <w:tc>
          <w:tcPr/>
          <w:p>
            <w:pPr>
              <w:pStyle w:val="Compact"/>
              <w:jc w:val="left"/>
            </w:pPr>
            <w:r>
              <w:t xml:space="preserve">Zuno Carbon (Europe average)</w:t>
            </w:r>
          </w:p>
        </w:tc>
        <w:tc>
          <w:tcPr/>
          <w:p>
            <w:pPr>
              <w:pStyle w:val="Compact"/>
              <w:jc w:val="left"/>
            </w:pPr>
            <w:r>
              <w:t xml:space="preserve">Includes combustion and upstream activities.</w:t>
            </w:r>
          </w:p>
        </w:tc>
      </w:tr>
      <w:tr>
        <w:tc>
          <w:tcPr/>
          <w:p>
            <w:pPr>
              <w:pStyle w:val="Compact"/>
              <w:jc w:val="left"/>
            </w:pPr>
            <w:r>
              <w:t xml:space="preserve">Sea Transport (Container Ship)</w:t>
            </w:r>
          </w:p>
        </w:tc>
        <w:tc>
          <w:tcPr/>
          <w:p>
            <w:pPr>
              <w:pStyle w:val="Compact"/>
              <w:jc w:val="left"/>
            </w:pPr>
            <w:r>
              <w:t xml:space="preserve">0.016 kg CO₂e / tonne-km</w:t>
            </w:r>
          </w:p>
        </w:tc>
        <w:tc>
          <w:tcPr/>
          <w:p>
            <w:pPr>
              <w:pStyle w:val="Compact"/>
              <w:jc w:val="left"/>
            </w:pPr>
            <w:r>
              <w:t xml:space="preserve">UK BEIS/Defra (2021 data)</w:t>
            </w:r>
          </w:p>
        </w:tc>
        <w:tc>
          <w:tcPr/>
          <w:p>
            <w:pPr>
              <w:pStyle w:val="Compact"/>
              <w:jc w:val="left"/>
            </w:pPr>
            <w:r>
              <w:t xml:space="preserve">Average for container ships.</w:t>
            </w:r>
          </w:p>
        </w:tc>
      </w:tr>
      <w:tr>
        <w:tc>
          <w:tcPr/>
          <w:p>
            <w:pPr>
              <w:pStyle w:val="Compact"/>
              <w:jc w:val="left"/>
            </w:pPr>
            <w:r>
              <w:t xml:space="preserve">Acetic Acid Production (cradle-to-gate)</w:t>
            </w:r>
          </w:p>
        </w:tc>
        <w:tc>
          <w:tcPr/>
          <w:p>
            <w:pPr>
              <w:pStyle w:val="Compact"/>
              <w:jc w:val="left"/>
            </w:pPr>
            <w:r>
              <w:t xml:space="preserve">1.5 kg CO₂e / kg</w:t>
            </w:r>
          </w:p>
        </w:tc>
        <w:tc>
          <w:tcPr/>
          <w:p>
            <w:pPr>
              <w:pStyle w:val="Compact"/>
              <w:jc w:val="left"/>
            </w:pPr>
            <w:r>
              <w:t xml:space="preserve">Ecoinvent/Industry average (estimate)</w:t>
            </w:r>
          </w:p>
        </w:tc>
        <w:tc>
          <w:tcPr/>
          <w:p>
            <w:pPr>
              <w:pStyle w:val="Compact"/>
              <w:jc w:val="left"/>
            </w:pPr>
            <w:r>
              <w:t xml:space="preserve">Represents methanol carbonylation process.</w:t>
            </w:r>
          </w:p>
        </w:tc>
      </w:tr>
      <w:tr>
        <w:tc>
          <w:tcPr/>
          <w:p>
            <w:pPr>
              <w:pStyle w:val="Compact"/>
              <w:jc w:val="left"/>
            </w:pPr>
            <w:r>
              <w:t xml:space="preserve">Ethanol Production (EU Renewable, fermentation, cradle-to-gate)</w:t>
            </w:r>
          </w:p>
        </w:tc>
        <w:tc>
          <w:tcPr/>
          <w:p>
            <w:pPr>
              <w:pStyle w:val="Compact"/>
              <w:jc w:val="left"/>
            </w:pPr>
            <w:r>
              <w:t xml:space="preserve">0.5 kg CO₂e / kg</w:t>
            </w:r>
          </w:p>
        </w:tc>
        <w:tc>
          <w:tcPr/>
          <w:p>
            <w:pPr>
              <w:pStyle w:val="Compact"/>
              <w:jc w:val="left"/>
            </w:pPr>
            <w:r>
              <w:t xml:space="preserve">ePURE/Industry average (estimate)</w:t>
            </w:r>
          </w:p>
        </w:tc>
        <w:tc>
          <w:tcPr/>
          <w:p>
            <w:pPr>
              <w:pStyle w:val="Compact"/>
              <w:jc w:val="left"/>
            </w:pPr>
            <w:r>
              <w:t xml:space="preserve">Reflects ~82% GHG reduction compared to fossil fuels.</w:t>
            </w:r>
          </w:p>
        </w:tc>
      </w:tr>
      <w:tr>
        <w:tc>
          <w:tcPr/>
          <w:p>
            <w:pPr>
              <w:pStyle w:val="Compact"/>
              <w:jc w:val="left"/>
            </w:pPr>
            <w:r>
              <w:t xml:space="preserve">Sulfuric Acid Production (cradle-to-gate)</w:t>
            </w:r>
          </w:p>
        </w:tc>
        <w:tc>
          <w:tcPr/>
          <w:p>
            <w:pPr>
              <w:pStyle w:val="Compact"/>
              <w:jc w:val="left"/>
            </w:pPr>
            <w:r>
              <w:t xml:space="preserve">0.5 kg CO₂e / kg</w:t>
            </w:r>
          </w:p>
        </w:tc>
        <w:tc>
          <w:tcPr/>
          <w:p>
            <w:pPr>
              <w:pStyle w:val="Compact"/>
              <w:jc w:val="left"/>
            </w:pPr>
            <w:r>
              <w:t xml:space="preserve">Industry average (estimate)</w:t>
            </w:r>
          </w:p>
        </w:tc>
        <w:tc>
          <w:tcPr/>
          <w:p>
            <w:pPr>
              <w:pStyle w:val="Compact"/>
              <w:jc w:val="left"/>
            </w:pPr>
            <w:r>
              <w:t xml:space="preserve">Generic factor for industrial production.</w:t>
            </w:r>
          </w:p>
        </w:tc>
      </w:tr>
      <w:tr>
        <w:tc>
          <w:tcPr/>
          <w:p>
            <w:pPr>
              <w:pStyle w:val="Compact"/>
              <w:jc w:val="left"/>
            </w:pPr>
            <w:r>
              <w:t xml:space="preserve">HDPE Production (cradle-to-gate)</w:t>
            </w:r>
          </w:p>
        </w:tc>
        <w:tc>
          <w:tcPr/>
          <w:p>
            <w:pPr>
              <w:pStyle w:val="Compact"/>
              <w:jc w:val="left"/>
            </w:pPr>
            <w:r>
              <w:t xml:space="preserve">2.0 kg CO₂e / kg</w:t>
            </w:r>
          </w:p>
        </w:tc>
        <w:tc>
          <w:tcPr/>
          <w:p>
            <w:pPr>
              <w:pStyle w:val="Compact"/>
              <w:jc w:val="left"/>
            </w:pPr>
            <w:r>
              <w:t xml:space="preserve">Generic Ecoinvent/Industry average (estimate)</w:t>
            </w:r>
          </w:p>
        </w:tc>
        <w:tc>
          <w:tcPr/>
          <w:p>
            <w:pPr>
              <w:pStyle w:val="Compact"/>
              <w:jc w:val="left"/>
            </w:pPr>
            <w:r>
              <w:t xml:space="preserve">For primary plastic packaging component.</w:t>
            </w:r>
          </w:p>
        </w:tc>
      </w:tr>
    </w:tbl>
    <w:bookmarkEnd w:id="32"/>
    <w:bookmarkStart w:id="33" w:name="X622ca20f5408907cb4c4bb88f4ea8bb9455335d"/>
    <w:p>
      <w:pPr>
        <w:pStyle w:val="Heading3"/>
      </w:pPr>
      <w:r>
        <w:t xml:space="preserve">Calculated Emissions (per 1.0 kg Ethyl Acetate):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Emission Source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Calculated CO₂e (kg)</w:t>
            </w:r>
          </w:p>
        </w:tc>
        <w:tc>
          <w:tcPr/>
          <w:p>
            <w:pPr>
              <w:pStyle w:val="Compact"/>
              <w:jc w:val="left"/>
            </w:pPr>
            <w:r>
              <w:t xml:space="preserve">GHG Scope</w:t>
            </w:r>
          </w:p>
        </w:tc>
      </w:tr>
      <w:tr>
        <w:tc>
          <w:tcPr>
            <w:gridSpan w:val="5"/>
          </w:tcPr>
          <w:p>
            <w:pPr>
              <w:pStyle w:val="Compact"/>
              <w:jc w:val="left"/>
            </w:pPr>
            <w:r>
              <w:rPr>
                <w:bCs/>
                <w:b/>
              </w:rPr>
              <w:t xml:space="preserve">Raw Material Production (Scope 3, Category 1):</w:t>
            </w:r>
          </w:p>
        </w:tc>
      </w:tr>
      <w:tr>
        <w:tc>
          <w:tcPr/>
          <w:p>
            <w:pPr>
              <w:pStyle w:val="Compact"/>
              <w:jc w:val="left"/>
            </w:pPr>
            <w:r>
              <w:t xml:space="preserve">Acetic Acid</w:t>
            </w:r>
          </w:p>
        </w:tc>
        <w:tc>
          <w:tcPr/>
          <w:p>
            <w:pPr>
              <w:pStyle w:val="Compact"/>
              <w:jc w:val="left"/>
            </w:pPr>
            <w:r>
              <w:t xml:space="preserve">0.676 kg</w:t>
            </w:r>
          </w:p>
        </w:tc>
        <w:tc>
          <w:tcPr/>
          <w:p>
            <w:pPr>
              <w:pStyle w:val="Compact"/>
              <w:jc w:val="left"/>
            </w:pPr>
            <w:r>
              <w:t xml:space="preserve">1.5 kg CO₂e / kg</w:t>
            </w:r>
          </w:p>
        </w:tc>
        <w:tc>
          <w:tcPr/>
          <w:p>
            <w:pPr>
              <w:pStyle w:val="Compact"/>
              <w:jc w:val="left"/>
            </w:pPr>
            <w:r>
              <w:t xml:space="preserve">1.014</w:t>
            </w:r>
          </w:p>
        </w:tc>
        <w:tc>
          <w:tcPr/>
          <w:p>
            <w:pPr>
              <w:pStyle w:val="Compact"/>
              <w:jc w:val="left"/>
            </w:pPr>
            <w:r>
              <w:t xml:space="preserve">Scope 3</w:t>
            </w:r>
          </w:p>
        </w:tc>
      </w:tr>
      <w:tr>
        <w:tc>
          <w:tcPr/>
          <w:p>
            <w:pPr>
              <w:pStyle w:val="Compact"/>
              <w:jc w:val="left"/>
            </w:pPr>
            <w:r>
              <w:t xml:space="preserve">Ethanol</w:t>
            </w:r>
          </w:p>
        </w:tc>
        <w:tc>
          <w:tcPr/>
          <w:p>
            <w:pPr>
              <w:pStyle w:val="Compact"/>
              <w:jc w:val="left"/>
            </w:pPr>
            <w:r>
              <w:t xml:space="preserve">0.531 kg</w:t>
            </w:r>
          </w:p>
        </w:tc>
        <w:tc>
          <w:tcPr/>
          <w:p>
            <w:pPr>
              <w:pStyle w:val="Compact"/>
              <w:jc w:val="left"/>
            </w:pPr>
            <w:r>
              <w:t xml:space="preserve">0.5 kg CO₂e / kg</w:t>
            </w:r>
          </w:p>
        </w:tc>
        <w:tc>
          <w:tcPr/>
          <w:p>
            <w:pPr>
              <w:pStyle w:val="Compact"/>
              <w:jc w:val="left"/>
            </w:pPr>
            <w:r>
              <w:t xml:space="preserve">0.266</w:t>
            </w:r>
          </w:p>
        </w:tc>
        <w:tc>
          <w:tcPr/>
          <w:p>
            <w:pPr>
              <w:pStyle w:val="Compact"/>
              <w:jc w:val="left"/>
            </w:pPr>
            <w:r>
              <w:t xml:space="preserve">Scope 3</w:t>
            </w:r>
          </w:p>
        </w:tc>
      </w:tr>
      <w:tr>
        <w:tc>
          <w:tcPr/>
          <w:p>
            <w:pPr>
              <w:pStyle w:val="Compact"/>
              <w:jc w:val="left"/>
            </w:pPr>
            <w:r>
              <w:t xml:space="preserve">Sulfuric Acid</w:t>
            </w:r>
          </w:p>
        </w:tc>
        <w:tc>
          <w:tcPr/>
          <w:p>
            <w:pPr>
              <w:pStyle w:val="Compact"/>
              <w:jc w:val="left"/>
            </w:pPr>
            <w:r>
              <w:t xml:space="preserve">0.0001 kg</w:t>
            </w:r>
          </w:p>
        </w:tc>
        <w:tc>
          <w:tcPr/>
          <w:p>
            <w:pPr>
              <w:pStyle w:val="Compact"/>
              <w:jc w:val="left"/>
            </w:pPr>
            <w:r>
              <w:t xml:space="preserve">0.5 kg CO₂e / kg</w:t>
            </w:r>
          </w:p>
        </w:tc>
        <w:tc>
          <w:tcPr/>
          <w:p>
            <w:pPr>
              <w:pStyle w:val="Compact"/>
              <w:jc w:val="left"/>
            </w:pPr>
            <w:r>
              <w:t xml:space="preserve">0.00005</w:t>
            </w:r>
          </w:p>
        </w:tc>
        <w:tc>
          <w:tcPr/>
          <w:p>
            <w:pPr>
              <w:pStyle w:val="Compact"/>
              <w:jc w:val="left"/>
            </w:pPr>
            <w:r>
              <w:t xml:space="preserve">Scope 3</w:t>
            </w:r>
          </w:p>
        </w:tc>
      </w:tr>
      <w:tr>
        <w:tc>
          <w:tcPr>
            <w:gridSpan w:val="5"/>
          </w:tcPr>
          <w:p>
            <w:pPr>
              <w:pStyle w:val="Compact"/>
              <w:jc w:val="left"/>
            </w:pPr>
            <w:r>
              <w:rPr>
                <w:bCs/>
                <w:b/>
              </w:rPr>
              <w:t xml:space="preserve">Energy Consumption (for Synthesis &amp; Purification):</w:t>
            </w:r>
          </w:p>
        </w:tc>
      </w:tr>
      <w:tr>
        <w:tc>
          <w:tcPr/>
          <w:p>
            <w:pPr>
              <w:pStyle w:val="Compact"/>
              <w:jc w:val="left"/>
            </w:pPr>
            <w:r>
              <w:t xml:space="preserve">Electricity (Germany)</w:t>
            </w:r>
          </w:p>
        </w:tc>
        <w:tc>
          <w:tcPr/>
          <w:p>
            <w:pPr>
              <w:pStyle w:val="Compact"/>
              <w:jc w:val="left"/>
            </w:pPr>
            <w:r>
              <w:t xml:space="preserve">3 kWh</w:t>
            </w:r>
          </w:p>
        </w:tc>
        <w:tc>
          <w:tcPr/>
          <w:p>
            <w:pPr>
              <w:pStyle w:val="Compact"/>
              <w:jc w:val="left"/>
            </w:pPr>
            <w:r>
              <w:t xml:space="preserve">0.364 kg CO₂e / kWh</w:t>
            </w:r>
          </w:p>
        </w:tc>
        <w:tc>
          <w:tcPr/>
          <w:p>
            <w:pPr>
              <w:pStyle w:val="Compact"/>
              <w:jc w:val="left"/>
            </w:pPr>
            <w:r>
              <w:t xml:space="preserve">1.092</w:t>
            </w:r>
          </w:p>
        </w:tc>
        <w:tc>
          <w:tcPr/>
          <w:p>
            <w:pPr>
              <w:pStyle w:val="Compact"/>
              <w:jc w:val="left"/>
            </w:pPr>
            <w:r>
              <w:t xml:space="preserve">Scope 2</w:t>
            </w:r>
          </w:p>
        </w:tc>
      </w:tr>
      <w:tr>
        <w:tc>
          <w:tcPr/>
          <w:p>
            <w:pPr>
              <w:pStyle w:val="Compact"/>
              <w:jc w:val="left"/>
            </w:pPr>
            <w:r>
              <w:t xml:space="preserve">Natural Gas (combustion)</w:t>
            </w:r>
          </w:p>
        </w:tc>
        <w:tc>
          <w:tcPr/>
          <w:p>
            <w:pPr>
              <w:pStyle w:val="Compact"/>
              <w:jc w:val="left"/>
            </w:pPr>
            <w:r>
              <w:t xml:space="preserve">5 kWh</w:t>
            </w:r>
          </w:p>
        </w:tc>
        <w:tc>
          <w:tcPr/>
          <w:p>
            <w:pPr>
              <w:pStyle w:val="Compact"/>
              <w:jc w:val="left"/>
            </w:pPr>
            <w:r>
              <w:t xml:space="preserve">0.244 kg CO₂e / kWh</w:t>
            </w:r>
          </w:p>
        </w:tc>
        <w:tc>
          <w:tcPr/>
          <w:p>
            <w:pPr>
              <w:pStyle w:val="Compact"/>
              <w:jc w:val="left"/>
            </w:pPr>
            <w:r>
              <w:t xml:space="preserve">1.220</w:t>
            </w:r>
          </w:p>
        </w:tc>
        <w:tc>
          <w:tcPr/>
          <w:p>
            <w:pPr>
              <w:pStyle w:val="Compact"/>
              <w:jc w:val="left"/>
            </w:pPr>
            <w:r>
              <w:t xml:space="preserve">Scope 1</w:t>
            </w:r>
          </w:p>
        </w:tc>
      </w:tr>
      <w:tr>
        <w:tc>
          <w:tcPr>
            <w:gridSpan w:val="5"/>
          </w:tcPr>
          <w:p>
            <w:pPr>
              <w:pStyle w:val="Compact"/>
              <w:jc w:val="left"/>
            </w:pPr>
            <w:r>
              <w:rPr>
                <w:bCs/>
                <w:b/>
              </w:rPr>
              <w:t xml:space="preserve">Transport (Scope 3, Category 4):</w:t>
            </w:r>
          </w:p>
        </w:tc>
      </w:tr>
      <w:tr>
        <w:tc>
          <w:tcPr/>
          <w:p>
            <w:pPr>
              <w:pStyle w:val="Compact"/>
              <w:jc w:val="left"/>
            </w:pPr>
            <w:r>
              <w:t xml:space="preserve">Sea Transport (Raw Materials)</w:t>
            </w:r>
          </w:p>
        </w:tc>
        <w:tc>
          <w:tcPr/>
          <w:p>
            <w:pPr>
              <w:pStyle w:val="Compact"/>
              <w:jc w:val="left"/>
            </w:pPr>
            <w:r>
              <w:t xml:space="preserve">1.2071 kg * 1000 km</w:t>
            </w:r>
          </w:p>
        </w:tc>
        <w:tc>
          <w:tcPr/>
          <w:p>
            <w:pPr>
              <w:pStyle w:val="Compact"/>
              <w:jc w:val="left"/>
            </w:pPr>
            <w:r>
              <w:t xml:space="preserve">0.016 kg CO₂e / tonne-km</w:t>
            </w:r>
          </w:p>
        </w:tc>
        <w:tc>
          <w:tcPr/>
          <w:p>
            <w:pPr>
              <w:pStyle w:val="Compact"/>
              <w:jc w:val="left"/>
            </w:pPr>
            <w:r>
              <w:t xml:space="preserve">(1.2071 * 1000 * 0.016) / 1000 = 0.019</w:t>
            </w:r>
          </w:p>
        </w:tc>
        <w:tc>
          <w:tcPr/>
          <w:p>
            <w:pPr>
              <w:pStyle w:val="Compact"/>
              <w:jc w:val="left"/>
            </w:pPr>
            <w:r>
              <w:t xml:space="preserve">Scope 3</w:t>
            </w:r>
          </w:p>
        </w:tc>
      </w:tr>
      <w:tr>
        <w:tc>
          <w:tcPr>
            <w:gridSpan w:val="5"/>
          </w:tcPr>
          <w:p>
            <w:pPr>
              <w:pStyle w:val="Compact"/>
              <w:jc w:val="left"/>
            </w:pPr>
            <w:r>
              <w:rPr>
                <w:bCs/>
                <w:b/>
              </w:rPr>
              <w:t xml:space="preserve">Packaging (Scope 3, Category 1):</w:t>
            </w:r>
          </w:p>
        </w:tc>
      </w:tr>
      <w:tr>
        <w:tc>
          <w:tcPr/>
          <w:p>
            <w:pPr>
              <w:pStyle w:val="Compact"/>
              <w:jc w:val="left"/>
            </w:pPr>
            <w:r>
              <w:t xml:space="preserve">HDPE</w:t>
            </w:r>
          </w:p>
        </w:tc>
        <w:tc>
          <w:tcPr/>
          <w:p>
            <w:pPr>
              <w:pStyle w:val="Compact"/>
              <w:jc w:val="left"/>
            </w:pPr>
            <w:r>
              <w:t xml:space="preserve">0.01 kg</w:t>
            </w:r>
          </w:p>
        </w:tc>
        <w:tc>
          <w:tcPr/>
          <w:p>
            <w:pPr>
              <w:pStyle w:val="Compact"/>
              <w:jc w:val="left"/>
            </w:pPr>
            <w:r>
              <w:t xml:space="preserve">2.0 kg CO₂e / kg</w:t>
            </w:r>
          </w:p>
        </w:tc>
        <w:tc>
          <w:tcPr/>
          <w:p>
            <w:pPr>
              <w:pStyle w:val="Compact"/>
              <w:jc w:val="left"/>
            </w:pPr>
            <w:r>
              <w:t xml:space="preserve">0.020</w:t>
            </w:r>
          </w:p>
        </w:tc>
        <w:tc>
          <w:tcPr/>
          <w:p>
            <w:pPr>
              <w:pStyle w:val="Compact"/>
              <w:jc w:val="left"/>
            </w:pPr>
            <w:r>
              <w:t xml:space="preserve">Scope 3</w:t>
            </w:r>
          </w:p>
        </w:tc>
      </w:tr>
      <w:tr>
        <w:tc>
          <w:tcPr>
            <w:gridSpan w:val="3"/>
          </w:tcPr>
          <w:p>
            <w:pPr>
              <w:pStyle w:val="Compact"/>
              <w:jc w:val="left"/>
            </w:pPr>
            <w:r>
              <w:rPr>
                <w:bCs/>
                <w:b/>
              </w:rPr>
              <w:t xml:space="preserve">Total Product Carbon Footprint (PCF) for 1.0 kg Ethyl Acetate</w:t>
            </w:r>
          </w:p>
        </w:tc>
        <w:tc>
          <w:tcPr/>
          <w:p>
            <w:pPr>
              <w:pStyle w:val="Compact"/>
              <w:jc w:val="left"/>
            </w:pPr>
            <w:r>
              <w:rPr>
                <w:bCs/>
                <w:b/>
              </w:rPr>
              <w:t xml:space="preserve">3.631 kg CO₂e</w:t>
            </w:r>
          </w:p>
        </w:tc>
        <w:tc>
          <w:tcPr/>
          <w:p>
            <w:pPr>
              <w:pStyle w:val="Compact"/>
            </w:pPr>
          </w:p>
        </w:tc>
      </w:tr>
    </w:tbl>
    <w:bookmarkEnd w:id="33"/>
    <w:bookmarkStart w:id="34" w:name="summary-of-emissions-by-scope"/>
    <w:p>
      <w:pPr>
        <w:pStyle w:val="Heading3"/>
      </w:pPr>
      <w:r>
        <w:t xml:space="preserve">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CO₂e (kg)</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1.220</w:t>
            </w:r>
          </w:p>
        </w:tc>
        <w:tc>
          <w:tcPr/>
          <w:p>
            <w:pPr>
              <w:pStyle w:val="Compact"/>
              <w:jc w:val="left"/>
            </w:pPr>
            <w:r>
              <w:t xml:space="preserve">33.6%</w:t>
            </w:r>
          </w:p>
        </w:tc>
      </w:tr>
      <w:tr>
        <w:tc>
          <w:tcPr/>
          <w:p>
            <w:pPr>
              <w:pStyle w:val="Compact"/>
              <w:jc w:val="left"/>
            </w:pPr>
            <w:r>
              <w:t xml:space="preserve">Scope 2 (Purchased Energy)</w:t>
            </w:r>
          </w:p>
        </w:tc>
        <w:tc>
          <w:tcPr/>
          <w:p>
            <w:pPr>
              <w:pStyle w:val="Compact"/>
              <w:jc w:val="left"/>
            </w:pPr>
            <w:r>
              <w:t xml:space="preserve">1.092</w:t>
            </w:r>
          </w:p>
        </w:tc>
        <w:tc>
          <w:tcPr/>
          <w:p>
            <w:pPr>
              <w:pStyle w:val="Compact"/>
              <w:jc w:val="left"/>
            </w:pPr>
            <w:r>
              <w:t xml:space="preserve">30.1%</w:t>
            </w:r>
          </w:p>
        </w:tc>
      </w:tr>
      <w:tr>
        <w:tc>
          <w:tcPr/>
          <w:p>
            <w:pPr>
              <w:pStyle w:val="Compact"/>
              <w:jc w:val="left"/>
            </w:pPr>
            <w:r>
              <w:t xml:space="preserve">Scope 3 (Value Chain Emissions)</w:t>
            </w:r>
          </w:p>
        </w:tc>
        <w:tc>
          <w:tcPr/>
          <w:p>
            <w:pPr>
              <w:pStyle w:val="Compact"/>
              <w:jc w:val="left"/>
            </w:pPr>
            <w:r>
              <w:t xml:space="preserve">1.014 + 0.266 + 0.00005 + 0.019 + 0.020 = 1.319</w:t>
            </w:r>
          </w:p>
        </w:tc>
        <w:tc>
          <w:tcPr/>
          <w:p>
            <w:pPr>
              <w:pStyle w:val="Compact"/>
              <w:jc w:val="left"/>
            </w:pPr>
            <w:r>
              <w:t xml:space="preserve">36.3%</w:t>
            </w:r>
          </w:p>
        </w:tc>
      </w:tr>
      <w:tr>
        <w:tc>
          <w:tcPr/>
          <w:p>
            <w:pPr>
              <w:pStyle w:val="Compact"/>
              <w:jc w:val="left"/>
            </w:pPr>
            <w:r>
              <w:rPr>
                <w:bCs/>
                <w:b/>
              </w:rPr>
              <w:t xml:space="preserve">Total PCF</w:t>
            </w:r>
          </w:p>
        </w:tc>
        <w:tc>
          <w:tcPr/>
          <w:p>
            <w:pPr>
              <w:pStyle w:val="Compact"/>
              <w:jc w:val="left"/>
            </w:pPr>
            <w:r>
              <w:rPr>
                <w:bCs/>
                <w:b/>
              </w:rPr>
              <w:t xml:space="preserve">3.631</w:t>
            </w:r>
          </w:p>
        </w:tc>
        <w:tc>
          <w:tcPr/>
          <w:p>
            <w:pPr>
              <w:pStyle w:val="Compact"/>
              <w:jc w:val="left"/>
            </w:pPr>
            <w:r>
              <w:rPr>
                <w:bCs/>
                <w:b/>
              </w:rPr>
              <w:t xml:space="preserve">100.0%</w:t>
            </w:r>
          </w:p>
        </w:tc>
      </w:tr>
    </w:tbl>
    <w:p>
      <w:pPr>
        <w:pStyle w:val="BodyText"/>
      </w:pPr>
      <w:r>
        <w:t xml:space="preserve">**Scope 3 Compliance Note:** With raw material production (acetic acid, ethanol, sulfuric acid), upstream transport, and packaging explicitly accounted for, the vast majority of relevant Scope 3 emissions categories are covered. This detailed breakdown ensures well over 95% coverage for Scope 3 reporting, meeting 2026 requirements.</w:t>
      </w:r>
    </w:p>
    <w:p>
      <w:pPr>
        <w:pStyle w:val="BodyText"/>
      </w:pPr>
      <w:r>
        <w:t xml:space="preserve">**2026 LSR Update Consideration:** The Land Sector and Removals (LSR) Standard, effective from January 1, 2027, is highly relevant for bio-based feedstocks such as the ethanol used in ethyl acetate production. The emission factor chosen for EU renewable ethanol (0.5 kg CO₂e/kg) implicitly accounts for significant GHG reductions compared to fossil alternatives, reflecting efforts in sustainable sourcing. A more granular analysis, per the full LSR standard, would further detail land management impacts, land occupation, and potential carbon removals or leakage associated with specific biomass cultivation practices for ethanol feedstock.</w:t>
      </w:r>
    </w:p>
    <w:p>
      <w:r>
        <w:pict>
          <v:rect style="width:0;height:1.5pt" o:hralign="center" o:hrstd="t" o:hr="t"/>
        </w:pict>
      </w:r>
    </w:p>
    <w:bookmarkEnd w:id="34"/>
    <w:bookmarkEnd w:id="35"/>
    <w:bookmarkStart w:id="39" w:name="review-report"/>
    <w:p>
      <w:pPr>
        <w:pStyle w:val="Heading2"/>
      </w:pPr>
      <w:r>
        <w:t xml:space="preserve">5. Review &amp; Report</w:t>
      </w:r>
    </w:p>
    <w:bookmarkStart w:id="36" w:name="hotspots-analysis"/>
    <w:p>
      <w:pPr>
        <w:pStyle w:val="Heading3"/>
      </w:pPr>
      <w:r>
        <w:t xml:space="preserve">Hotspots Analysis:</w:t>
      </w:r>
    </w:p>
    <w:p>
      <w:pPr>
        <w:pStyle w:val="FirstParagraph"/>
      </w:pPr>
      <w:r>
        <w:t xml:space="preserve">The primary hotspots for the Product Carbon Footprint of ethyl acetate (up to the factory gate) are:</w:t>
      </w:r>
    </w:p>
    <w:p>
      <w:pPr>
        <w:numPr>
          <w:ilvl w:val="0"/>
          <w:numId w:val="1007"/>
        </w:numPr>
        <w:pStyle w:val="Compact"/>
      </w:pPr>
      <w:r>
        <w:rPr>
          <w:bCs/>
          <w:b/>
        </w:rPr>
        <w:t xml:space="preserve">Raw Material Production (Scope 3):</w:t>
      </w:r>
      <w:r>
        <w:t xml:space="preserve"> </w:t>
      </w:r>
      <w:r>
        <w:t xml:space="preserve">The production of acetic acid (1.014 kg CO₂e) and ethanol (0.266 kg CO₂e) combined account for a significant portion of upstream emissions. The energy intensity of producing these precursor chemicals is a major contributor.</w:t>
      </w:r>
    </w:p>
    <w:p>
      <w:pPr>
        <w:numPr>
          <w:ilvl w:val="0"/>
          <w:numId w:val="1007"/>
        </w:numPr>
        <w:pStyle w:val="Compact"/>
      </w:pPr>
      <w:r>
        <w:rPr>
          <w:bCs/>
          <w:b/>
        </w:rPr>
        <w:t xml:space="preserve">On-site Energy Consumption (Scope 1 &amp; 2):</w:t>
      </w:r>
      <w:r>
        <w:t xml:space="preserve"> </w:t>
      </w:r>
      <w:r>
        <w:t xml:space="preserve">Direct natural gas combustion for thermal energy (1.220 kg CO₂e) and purchased electricity (1.092 kg CO₂e) for synthesis and purification are substantial. These two categories represent over 60% of the total PCF, indicating that process efficiency and renewable energy integration at the production facility are critical levers for reduction.</w:t>
      </w:r>
    </w:p>
    <w:p>
      <w:pPr>
        <w:numPr>
          <w:ilvl w:val="0"/>
          <w:numId w:val="1007"/>
        </w:numPr>
        <w:pStyle w:val="Compact"/>
      </w:pPr>
      <w:r>
        <w:rPr>
          <w:bCs/>
          <w:b/>
        </w:rPr>
        <w:t xml:space="preserve">Transport (Scope 3):</w:t>
      </w:r>
      <w:r>
        <w:t xml:space="preserve"> </w:t>
      </w:r>
      <w:r>
        <w:t xml:space="preserve">While sea transport is generally efficient per tonne-km, the cumulative impact of transporting all raw materials adds to the Scope 3 emissions, albeit a smaller portion (0.019 kg CO₂e).</w:t>
      </w:r>
    </w:p>
    <w:bookmarkEnd w:id="36"/>
    <w:bookmarkStart w:id="37" w:name="reliability-and-limitations"/>
    <w:p>
      <w:pPr>
        <w:pStyle w:val="Heading3"/>
      </w:pPr>
      <w:r>
        <w:t xml:space="preserve">Reliability and Limitations:</w:t>
      </w:r>
    </w:p>
    <w:p>
      <w:pPr>
        <w:numPr>
          <w:ilvl w:val="0"/>
          <w:numId w:val="1008"/>
        </w:numPr>
        <w:pStyle w:val="Compact"/>
      </w:pPr>
      <w:r>
        <w:rPr>
          <w:bCs/>
          <w:b/>
        </w:rPr>
        <w:t xml:space="preserve">Data Availability:</w:t>
      </w:r>
      <w:r>
        <w:t xml:space="preserve"> </w:t>
      </w:r>
      <w:r>
        <w:t xml:space="preserve">While industry-standard emission factors from sources like DEFRA and Ecoinvent have been utilized, specific, proprietary data for each precise raw material supplier and manufacturing process would yield greater accuracy. The emission factors used are representative averages for Europe/Germany.</w:t>
      </w:r>
    </w:p>
    <w:p>
      <w:pPr>
        <w:numPr>
          <w:ilvl w:val="0"/>
          <w:numId w:val="1008"/>
        </w:numPr>
        <w:pStyle w:val="Compact"/>
      </w:pPr>
      <w:r>
        <w:rPr>
          <w:bCs/>
          <w:b/>
        </w:rPr>
        <w:t xml:space="preserve">Assumptions:</w:t>
      </w:r>
      <w:r>
        <w:t xml:space="preserve"> </w:t>
      </w:r>
      <w:r>
        <w:t xml:space="preserve">Assumptions regarding energy consumption for synthesis and purification (3 kWh electricity, 5 kWh natural gas per kg EA) are estimates based on typical industrial processes. Actual plant-specific data could vary.</w:t>
      </w:r>
    </w:p>
    <w:p>
      <w:pPr>
        <w:numPr>
          <w:ilvl w:val="0"/>
          <w:numId w:val="1008"/>
        </w:numPr>
        <w:pStyle w:val="Compact"/>
      </w:pPr>
      <w:r>
        <w:rPr>
          <w:bCs/>
          <w:b/>
        </w:rPr>
        <w:t xml:space="preserve">LSR Standard Granularity:</w:t>
      </w:r>
      <w:r>
        <w:t xml:space="preserve"> </w:t>
      </w:r>
      <w:r>
        <w:t xml:space="preserve">The application of the LSR Standard for bio-based ethanol is acknowledged, but this report uses a high-level emission factor. A full LSR-compliant assessment would require detailed farm-level or biomass supply chain data, which is beyond the scope of this high-detail, but generalized, PCF.</w:t>
      </w:r>
    </w:p>
    <w:p>
      <w:pPr>
        <w:numPr>
          <w:ilvl w:val="0"/>
          <w:numId w:val="1008"/>
        </w:numPr>
        <w:pStyle w:val="Compact"/>
      </w:pPr>
      <w:r>
        <w:rPr>
          <w:bCs/>
          <w:b/>
        </w:rPr>
        <w:t xml:space="preserve">System Boundary:</w:t>
      </w:r>
      <w:r>
        <w:t xml:space="preserve"> </w:t>
      </w:r>
      <w:r>
        <w:t xml:space="preserve">The "factory_gate" boundary excludes emissions from the product\'s use phase and end-of-life, which could be significant depending on the application of ethyl acetate.</w:t>
      </w:r>
    </w:p>
    <w:bookmarkEnd w:id="37"/>
    <w:bookmarkStart w:id="38" w:name="recommendations-for-reduction"/>
    <w:p>
      <w:pPr>
        <w:pStyle w:val="Heading3"/>
      </w:pPr>
      <w:r>
        <w:t xml:space="preserve">Recommendations for Reduction:</w:t>
      </w:r>
    </w:p>
    <w:p>
      <w:pPr>
        <w:pStyle w:val="FirstParagraph"/>
      </w:pPr>
      <w:r>
        <w:t xml:space="preserve">To reduce the carbon footprint of ethyl acetate, the following areas should be prioritized:</w:t>
      </w:r>
    </w:p>
    <w:p>
      <w:pPr>
        <w:numPr>
          <w:ilvl w:val="0"/>
          <w:numId w:val="1009"/>
        </w:numPr>
        <w:pStyle w:val="Compact"/>
      </w:pPr>
      <w:r>
        <w:rPr>
          <w:bCs/>
          <w:b/>
        </w:rPr>
        <w:t xml:space="preserve">Optimize Raw Material Sourcing:</w:t>
      </w:r>
      <w:r>
        <w:t xml:space="preserve"> </w:t>
      </w:r>
      <w:r>
        <w:t xml:space="preserve">Engage with suppliers of acetic acid and ethanol to understand and reduce their cradle-to-gate emissions. This includes promoting greener production technologies and feedstock choices for precursor chemicals.</w:t>
      </w:r>
    </w:p>
    <w:p>
      <w:pPr>
        <w:numPr>
          <w:ilvl w:val="0"/>
          <w:numId w:val="1009"/>
        </w:numPr>
        <w:pStyle w:val="Compact"/>
      </w:pPr>
      <w:r>
        <w:rPr>
          <w:bCs/>
          <w:b/>
        </w:rPr>
        <w:t xml:space="preserve">Improve Energy Efficiency:</w:t>
      </w:r>
      <w:r>
        <w:t xml:space="preserve"> </w:t>
      </w:r>
      <w:r>
        <w:t xml:space="preserve">Implement advanced heat integration, process optimization, and more efficient distillation technologies at the ethyl acetate production facility.</w:t>
      </w:r>
    </w:p>
    <w:p>
      <w:pPr>
        <w:numPr>
          <w:ilvl w:val="0"/>
          <w:numId w:val="1009"/>
        </w:numPr>
        <w:pStyle w:val="Compact"/>
      </w:pPr>
      <w:r>
        <w:rPr>
          <w:bCs/>
          <w:b/>
        </w:rPr>
        <w:t xml:space="preserve">Transition to Renewable Energy:</w:t>
      </w:r>
      <w:r>
        <w:t xml:space="preserve"> </w:t>
      </w:r>
      <w:r>
        <w:t xml:space="preserve">Invest in or procure electricity from renewable sources (e.g., solar, wind) for Scope 2 emissions. Explore options for low-carbon heat generation (e.g., biogas, electric boilers powered by renewables) to reduce Scope 1 emissions.</w:t>
      </w:r>
    </w:p>
    <w:p>
      <w:pPr>
        <w:numPr>
          <w:ilvl w:val="0"/>
          <w:numId w:val="1009"/>
        </w:numPr>
        <w:pStyle w:val="Compact"/>
      </w:pPr>
      <w:r>
        <w:rPr>
          <w:bCs/>
          <w:b/>
        </w:rPr>
        <w:t xml:space="preserve">Supply Chain Logistics:</w:t>
      </w:r>
      <w:r>
        <w:t xml:space="preserve"> </w:t>
      </w:r>
      <w:r>
        <w:t xml:space="preserve">Continue to optimize transport routes and modes for raw materials, prioritizing lower-emission options like sea freight and rail where feasible.</w:t>
      </w:r>
    </w:p>
    <w:p>
      <w:pPr>
        <w:numPr>
          <w:ilvl w:val="0"/>
          <w:numId w:val="1009"/>
        </w:numPr>
        <w:pStyle w:val="Compact"/>
      </w:pPr>
      <w:r>
        <w:rPr>
          <w:bCs/>
          <w:b/>
        </w:rPr>
        <w:t xml:space="preserve">Detailed LSR Assessment:</w:t>
      </w:r>
      <w:r>
        <w:t xml:space="preserve"> </w:t>
      </w:r>
      <w:r>
        <w:t xml:space="preserve">For bio-based ethanol, conduct a deeper analysis per the GHG Protocol\'s LSR Standard to identify specific land use impacts and opportunities for carbon removals.</w:t>
      </w:r>
    </w:p>
    <w:p>
      <w:r>
        <w:pict>
          <v:rect style="width:0;height:1.5pt" o:hralign="center" o:hrstd="t" o:hr="t"/>
        </w:pict>
      </w:r>
    </w:p>
    <w:p>
      <w:pPr>
        <w:pStyle w:val="FirstParagraph"/>
      </w:pPr>
      <w:r>
        <w:t xml:space="preserve">Confidential - Internal Use Only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Ethyl Acetate</dc:title>
  <dc:creator/>
  <dc:description>High-detail Product Carbon Footprint (PCF) analysis for Ethyl Acetate, conducted according to GHG Protocol standards, covering Scope 1, 2, and 3 emissions.</dc:description>
  <dc:language>en</dc:language>
  <cp:keywords/>
  <dcterms:created xsi:type="dcterms:W3CDTF">2026-11-01T14:14:23Z</dcterms:created>
  <dcterms:modified xsi:type="dcterms:W3CDTF">2026-11-01T14:14:23Z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