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esdnmzqfoe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esdnmzqfoe</w:t>
      </w:r>
    </w:p>
    <w:p>
      <w:pPr>
        <w:pStyle w:val="BodyText"/>
      </w:pPr>
      <w:r>
        <w:t xml:space="preserve">Company:</w:t>
      </w:r>
      <w:r>
        <w:t xml:space="preserve"> </w:t>
      </w:r>
      <w:r>
        <w:rPr>
          <w:bCs/>
          <w:b/>
        </w:rPr>
        <w:t xml:space="preserve">qdvelpldhv</w:t>
      </w:r>
    </w:p>
    <w:p>
      <w:pPr>
        <w:pStyle w:val="BodyText"/>
      </w:pPr>
      <w:r>
        <w:t xml:space="preserve">Prepared by:</w:t>
      </w:r>
    </w:p>
    <w:p>
      <w:pPr>
        <w:pStyle w:val="BodyText"/>
      </w:pPr>
      <w:r>
        <w:t xml:space="preserve">hyulnienzd</w:t>
      </w:r>
    </w:p>
    <w:p>
      <w:pPr>
        <w:pStyle w:val="BodyText"/>
      </w:pPr>
      <w:r>
        <w:t xml:space="preserve">Senior Sustainability Consultant</w:t>
      </w:r>
    </w:p>
    <w:p>
      <w:pPr>
        <w:pStyle w:val="BodyText"/>
      </w:pPr>
      <w:r>
        <w:t xml:space="preserve">Protocol Data (Accounting Standard):</w:t>
      </w:r>
      <w:r>
        <w:t xml:space="preserve"> </w:t>
      </w:r>
      <w:r>
        <w:rPr>
          <w:bCs/>
          <w:b/>
        </w:rPr>
        <w:t xml:space="preserve">GHG Protocol</w:t>
      </w:r>
    </w:p>
    <w:p>
      <w:pPr>
        <w:pStyle w:val="BodyText"/>
      </w:pPr>
      <w:r>
        <w:rPr>
          <w:bCs/>
          <w:b/>
        </w:rPr>
        <w:t xml:space="preserve">Disclaimer:</w:t>
      </w:r>
      <w:r>
        <w:t xml:space="preserve"> </w:t>
      </w:r>
      <w:r>
        <w:t xml:space="preserve">This report is generated based on available data and industry standards, providing an estimate of the Product Carbon Footprint (PCF). While every effort has been made to ensure accuracy, the actual environmental impacts may vary depending on real-world conditions, data availability, and evolving scientific understanding.</w:t>
      </w:r>
    </w:p>
    <w:bookmarkEnd w:id="20"/>
    <w:bookmarkStart w:id="22" w:name="product-carbon-footprint-report"/>
    <w:p>
      <w:pPr>
        <w:pStyle w:val="Heading1"/>
      </w:pPr>
      <w:r>
        <w:t xml:space="preserve">Product Carbon Footprint Report</w:t>
      </w:r>
    </w:p>
    <w:bookmarkStart w:id="21" w:name="product-esdnmzqfoe"/>
    <w:p>
      <w:pPr>
        <w:pStyle w:val="Heading2"/>
      </w:pPr>
      <w:r>
        <w:t xml:space="preserve">Product: esdnmzqfoe</w:t>
      </w:r>
    </w:p>
    <w:p>
      <w:pPr>
        <w:pStyle w:val="FirstParagraph"/>
      </w:pPr>
      <w:r>
        <w:t xml:space="preserve">Generated Date:</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esdnmzqfoe</w:t>
      </w:r>
      <w:r>
        <w:t xml:space="preserve"> </w:t>
      </w:r>
      <w:r>
        <w:t xml:space="preserve">manufactured by</w:t>
      </w:r>
      <w:r>
        <w:t xml:space="preserve"> </w:t>
      </w:r>
      <w:r>
        <w:rPr>
          <w:bCs/>
          <w:b/>
        </w:rPr>
        <w:t xml:space="preserve">qdvelpldhv</w:t>
      </w:r>
      <w:r>
        <w:t xml:space="preserve">. The analysis, conducted by</w:t>
      </w:r>
      <w:r>
        <w:t xml:space="preserve"> </w:t>
      </w:r>
      <w:r>
        <w:rPr>
          <w:bCs/>
          <w:b/>
        </w:rPr>
        <w:t xml:space="preserve">hyulnienzd</w:t>
      </w:r>
      <w:r>
        <w:t xml:space="preserve">, Senior Sustainability Consultant, adheres to the Greenhouse Gas (GHG) Protocol standards, providing a comprehensive assessment of emissions across the product\'s lifecycle. The primary goal is to identify emission hotspots and offer insights for reduction strategies.</w:t>
      </w:r>
    </w:p>
    <w:p>
      <w:pPr>
        <w:pStyle w:val="BodyText"/>
      </w:pPr>
      <w:r>
        <w:t xml:space="preserve">The PCF quantifies the total greenhouse gas emissions associated with the product from raw material extraction through manufacturing, distribution, use, and end-of-life. Key findings indicate that upstream material acquisition and the use phase are significant contributors, highlighting areas for strategic intervention to enhance the product\'s sustainability profile.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analysis is</w:t>
      </w:r>
      <w:r>
        <w:t xml:space="preserve"> </w:t>
      </w:r>
      <w:r>
        <w:rPr>
          <w:bCs/>
          <w:b/>
        </w:rPr>
        <w:t xml:space="preserve">1.0 unit of esdnmzqfoe</w:t>
      </w:r>
      <w:r>
        <w:t xml:space="preserve">. This represents the quantified performance of the product for comparative purposes.</w:t>
      </w:r>
    </w:p>
    <w:bookmarkEnd w:id="24"/>
    <w:bookmarkStart w:id="25" w:name="system-boundary"/>
    <w:p>
      <w:pPr>
        <w:pStyle w:val="Heading3"/>
      </w:pPr>
      <w:r>
        <w:t xml:space="preserve">System Boundary</w:t>
      </w:r>
    </w:p>
    <w:p>
      <w:pPr>
        <w:pStyle w:val="FirstParagraph"/>
      </w:pPr>
      <w:r>
        <w:t xml:space="preserve">The initial system boundary for this PCF analysis is defined as</w:t>
      </w:r>
      <w:r>
        <w:t xml:space="preserve"> </w:t>
      </w:r>
      <w:r>
        <w:rPr>
          <w:bCs/>
          <w:b/>
        </w:rPr>
        <w:t xml:space="preserve">"factory_gate"</w:t>
      </w:r>
      <w:r>
        <w:t xml:space="preserve">. However, to provide a comprehensive cradle-to-grave assessment in alignment with the GHG Protocol Product Standard, the analysis has been expanded to include the entire lifecycle: materials acquisition, manufacturing, distribution, use, and end-of-life phases.</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use phase assumptions)</w:t>
      </w:r>
    </w:p>
    <w:bookmarkEnd w:id="26"/>
    <w:bookmarkStart w:id="27" w:name="accounting-standard"/>
    <w:p>
      <w:pPr>
        <w:pStyle w:val="Heading3"/>
      </w:pPr>
      <w:r>
        <w:t xml:space="preserve">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w:t>
      </w:r>
    </w:p>
    <w:bookmarkEnd w:id="27"/>
    <w:bookmarkStart w:id="28" w:name="allocation"/>
    <w:p>
      <w:pPr>
        <w:pStyle w:val="Heading3"/>
      </w:pPr>
      <w:r>
        <w:t xml:space="preserve">Allocation</w:t>
      </w:r>
    </w:p>
    <w:p>
      <w:pPr>
        <w:pStyle w:val="FirstParagraph"/>
      </w:pPr>
      <w:r>
        <w:t xml:space="preserve">Emissions are allocated based on mass for material inputs and direct energy consumption where specific data is available. For shared processes or infrastructure, economic allocation or specific activity data is used where appropriate, consistent with GHG Protocol guidance.</w:t>
      </w:r>
    </w:p>
    <w:p>
      <w:r>
        <w:pict>
          <v:rect style="width:0;height:1.5pt" o:hralign="center" o:hrstd="t" o:hr="t"/>
        </w:pict>
      </w:r>
    </w:p>
    <w:bookmarkEnd w:id="28"/>
    <w:bookmarkEnd w:id="29"/>
    <w:bookmarkStart w:id="30" w:name="Xf6590ae06e9eff1c8ceb678e24ded0b628f7713"/>
    <w:p>
      <w:pPr>
        <w:pStyle w:val="Heading2"/>
      </w:pPr>
      <w:r>
        <w:t xml:space="preserve">2. Map Lifecycle (Life Cycle Inventory Stages)</w:t>
      </w:r>
    </w:p>
    <w:p>
      <w:pPr>
        <w:pStyle w:val="FirstParagraph"/>
      </w:pPr>
      <w:r>
        <w:t xml:space="preserve">The lifecycle of</w:t>
      </w:r>
      <w:r>
        <w:t xml:space="preserve"> </w:t>
      </w:r>
      <w:r>
        <w:rPr>
          <w:bCs/>
          <w:b/>
        </w:rPr>
        <w:t xml:space="preserve">esdnmzqfoe</w:t>
      </w:r>
      <w:r>
        <w:t xml:space="preserve"> </w:t>
      </w:r>
      <w:r>
        <w:t xml:space="preserve">is mapped into the following stages to capture all relevant greenhouse gas emissions:</w:t>
      </w:r>
    </w:p>
    <w:p>
      <w:pPr>
        <w:numPr>
          <w:ilvl w:val="0"/>
          <w:numId w:val="1002"/>
        </w:numPr>
        <w:pStyle w:val="Compact"/>
      </w:pPr>
      <w:r>
        <w:rPr>
          <w:bCs/>
          <w:b/>
        </w:rPr>
        <w:t xml:space="preserve">Materials Acquisition &amp; Pre-processing (Scope 3 - Upstream):</w:t>
      </w:r>
      <w:r>
        <w:t xml:space="preserve"> </w:t>
      </w:r>
      <w:r>
        <w:t xml:space="preserve">Extraction, processing, and refining of raw materials (e.g., plastics, electronics, metals, paper) as detailed in the Bill of Materials (BOM).</w:t>
      </w:r>
    </w:p>
    <w:p>
      <w:pPr>
        <w:numPr>
          <w:ilvl w:val="0"/>
          <w:numId w:val="1002"/>
        </w:numPr>
        <w:pStyle w:val="Compact"/>
      </w:pPr>
      <w:r>
        <w:rPr>
          <w:bCs/>
          <w:b/>
        </w:rPr>
        <w:t xml:space="preserve">Manufacturing/Production (Scope 1 &amp; 2):</w:t>
      </w:r>
      <w:r>
        <w:t xml:space="preserve"> </w:t>
      </w:r>
      <w:r>
        <w:t xml:space="preserve">Energy consumption, waste generation, and direct emissions at the production facility in China.</w:t>
      </w:r>
    </w:p>
    <w:p>
      <w:pPr>
        <w:numPr>
          <w:ilvl w:val="0"/>
          <w:numId w:val="1002"/>
        </w:numPr>
        <w:pStyle w:val="Compact"/>
      </w:pPr>
      <w:r>
        <w:rPr>
          <w:bCs/>
          <w:b/>
        </w:rPr>
        <w:t xml:space="preserve">Transport &amp; Distribution (Scope 3 - Upstream &amp; Downstream):</w:t>
      </w:r>
      <w:r>
        <w:t xml:space="preserve"> </w:t>
      </w:r>
      <w:r>
        <w:t xml:space="preserve">Transportation of raw materials and components to the manufacturing facility, and transportation of the finished product to the market and end-users.</w:t>
      </w:r>
    </w:p>
    <w:p>
      <w:pPr>
        <w:numPr>
          <w:ilvl w:val="0"/>
          <w:numId w:val="1002"/>
        </w:numPr>
        <w:pStyle w:val="Compact"/>
      </w:pPr>
      <w:r>
        <w:rPr>
          <w:bCs/>
          <w:b/>
        </w:rPr>
        <w:t xml:space="preserve">Use Phase (Scope 3 - Downstream):</w:t>
      </w:r>
      <w:r>
        <w:t xml:space="preserve"> </w:t>
      </w:r>
      <w:r>
        <w:t xml:space="preserve">Energy consumption and other impacts during the product\'s operational lifespan.</w:t>
      </w:r>
    </w:p>
    <w:p>
      <w:pPr>
        <w:numPr>
          <w:ilvl w:val="0"/>
          <w:numId w:val="1002"/>
        </w:numPr>
        <w:pStyle w:val="Compact"/>
      </w:pPr>
      <w:r>
        <w:rPr>
          <w:bCs/>
          <w:b/>
        </w:rPr>
        <w:t xml:space="preserve">End-of-Life (EoL) (Scope 3 - Downstream):</w:t>
      </w:r>
      <w:r>
        <w:t xml:space="preserve"> </w:t>
      </w:r>
      <w:r>
        <w:t xml:space="preserve">Disposal or recycling of the product at the end of its useful life.</w:t>
      </w:r>
    </w:p>
    <w:bookmarkEnd w:id="30"/>
    <w:bookmarkStart w:id="36" w:name="collect-data"/>
    <w:p>
      <w:pPr>
        <w:pStyle w:val="Heading2"/>
      </w:pPr>
      <w:r>
        <w:t xml:space="preserve">3. Collect Data</w:t>
      </w:r>
    </w:p>
    <w:p>
      <w:pPr>
        <w:pStyle w:val="FirstParagraph"/>
      </w:pPr>
      <w:r>
        <w:t xml:space="preserve">This section details the primary and secondary data points collected for the analysis, using the specific parameters provided.</w:t>
      </w:r>
    </w:p>
    <w:bookmarkStart w:id="31" w:name="X701667ffa36999876fea16ba5d2447bbdfd2045"/>
    <w:p>
      <w:pPr>
        <w:pStyle w:val="Heading3"/>
      </w:pPr>
      <w:r>
        <w:t xml:space="preserve">Detailed Bill of Materials (BOM) Breakdown (wgddomeg)</w:t>
      </w:r>
    </w:p>
    <w:p>
      <w:pPr>
        <w:pStyle w:val="FirstParagraph"/>
      </w:pPr>
      <w:r>
        <w:t xml:space="preserve">The following table presents the detailed Bill of Materials for</w:t>
      </w:r>
      <w:r>
        <w:t xml:space="preserve"> </w:t>
      </w:r>
      <w:r>
        <w:rPr>
          <w:bCs/>
          <w:b/>
        </w:rPr>
        <w:t xml:space="preserve">esdnmzqfoe</w:t>
      </w:r>
      <w:r>
        <w:t xml:space="preserve">, including quantities and material-specific emission factors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104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0.85 kg</w:t>
            </w:r>
          </w:p>
        </w:tc>
        <w:tc>
          <w:tcPr>
            <w:gridSpan w:val="2"/>
          </w:tcPr>
          <w:p>
            <w:pPr>
              <w:pStyle w:val="Compact"/>
            </w:pPr>
          </w:p>
        </w:tc>
        <w:tc>
          <w:tcPr/>
          <w:p>
            <w:pPr>
              <w:pStyle w:val="Compact"/>
              <w:jc w:val="left"/>
            </w:pPr>
            <w:r>
              <w:rPr>
                <w:bCs/>
                <w:b/>
              </w:rPr>
              <w:t xml:space="preserve">4.40 kgCO2e</w:t>
            </w:r>
          </w:p>
        </w:tc>
      </w:tr>
    </w:tbl>
    <w:bookmarkEnd w:id="31"/>
    <w:bookmarkStart w:id="32" w:name="X9aa1eaf4df76e16965d61066f74e0d8649ccb3c"/>
    <w:p>
      <w:pPr>
        <w:pStyle w:val="Heading3"/>
      </w:pPr>
      <w:r>
        <w:t xml:space="preserve">Energy Inputs for Production (Final Production Country: China)</w:t>
      </w:r>
    </w:p>
    <w:p>
      <w:pPr>
        <w:numPr>
          <w:ilvl w:val="0"/>
          <w:numId w:val="1003"/>
        </w:numPr>
        <w:pStyle w:val="Compact"/>
      </w:pPr>
      <w:r>
        <w:rPr>
          <w:bCs/>
          <w:b/>
        </w:rPr>
        <w:t xml:space="preserve">Energy Intensity (kWh/unit):</w:t>
      </w:r>
      <w:r>
        <w:t xml:space="preserve"> </w:t>
      </w:r>
      <w:r>
        <w:t xml:space="preserve">50 kWh/unit [cite: lwhuvxordz]</w:t>
      </w:r>
    </w:p>
    <w:p>
      <w:pPr>
        <w:numPr>
          <w:ilvl w:val="0"/>
          <w:numId w:val="1003"/>
        </w:numPr>
        <w:pStyle w:val="Compact"/>
      </w:pPr>
      <w:r>
        <w:rPr>
          <w:bCs/>
          <w:b/>
        </w:rPr>
        <w:t xml:space="preserve">Renewable Energy Usage:</w:t>
      </w:r>
      <w:r>
        <w:t xml:space="preserve"> </w:t>
      </w:r>
      <w:r>
        <w:t xml:space="preserve">75% [cite: jzwrpvojrs]</w:t>
      </w:r>
    </w:p>
    <w:p>
      <w:pPr>
        <w:numPr>
          <w:ilvl w:val="0"/>
          <w:numId w:val="1003"/>
        </w:numPr>
        <w:pStyle w:val="Compact"/>
      </w:pPr>
      <w:r>
        <w:rPr>
          <w:bCs/>
          <w:b/>
        </w:rPr>
        <w:t xml:space="preserve">Non-renewable Electricity Share:</w:t>
      </w:r>
      <w:r>
        <w:t xml:space="preserve"> </w:t>
      </w:r>
      <w:r>
        <w:t xml:space="preserve">25%</w:t>
      </w:r>
    </w:p>
    <w:p>
      <w:pPr>
        <w:numPr>
          <w:ilvl w:val="0"/>
          <w:numId w:val="1003"/>
        </w:numPr>
        <w:pStyle w:val="Compact"/>
      </w:pPr>
      <w:r>
        <w:rPr>
          <w:bCs/>
          <w:b/>
        </w:rPr>
        <w:t xml:space="preserve">China Grid Electricity Emission Factor:</w:t>
      </w:r>
      <w:r>
        <w:t xml:space="preserve"> </w:t>
      </w:r>
      <w:r>
        <w:t xml:space="preserve">0.57 kgCO2e/kWh (based on 2021-2023 national average data from MEE/IEA/Ember)</w:t>
      </w:r>
    </w:p>
    <w:bookmarkEnd w:id="32"/>
    <w:bookmarkStart w:id="33" w:name="logistics-data"/>
    <w:p>
      <w:pPr>
        <w:pStyle w:val="Heading3"/>
      </w:pPr>
      <w:r>
        <w:t xml:space="preserve">Logistics Data</w:t>
      </w:r>
    </w:p>
    <w:p>
      <w:pPr>
        <w:numPr>
          <w:ilvl w:val="0"/>
          <w:numId w:val="1004"/>
        </w:numPr>
        <w:pStyle w:val="Compact"/>
      </w:pPr>
      <w:r>
        <w:rPr>
          <w:bCs/>
          <w:b/>
        </w:rPr>
        <w:t xml:space="preserve">Primary Transport Mode (Europe to China - Upstream):</w:t>
      </w:r>
      <w:r>
        <w:t xml:space="preserve"> </w:t>
      </w:r>
      <w:r>
        <w:t xml:space="preserve">Road Transport (Heavy Goods Vehicle) [cite: Select Mode]</w:t>
      </w:r>
    </w:p>
    <w:p>
      <w:pPr>
        <w:numPr>
          <w:ilvl w:val="0"/>
          <w:numId w:val="1004"/>
        </w:numPr>
        <w:pStyle w:val="Compact"/>
      </w:pPr>
      <w:r>
        <w:rPr>
          <w:bCs/>
          <w:b/>
        </w:rPr>
        <w:t xml:space="preserve">Assumed Transport Distance:</w:t>
      </w:r>
      <w:r>
        <w:t xml:space="preserve"> </w:t>
      </w:r>
      <w:r>
        <w:t xml:space="preserve">1500 km [cite: pdfuvkkkdp]</w:t>
      </w:r>
    </w:p>
    <w:p>
      <w:pPr>
        <w:numPr>
          <w:ilvl w:val="0"/>
          <w:numId w:val="1004"/>
        </w:numPr>
        <w:pStyle w:val="Compact"/>
      </w:pPr>
      <w:r>
        <w:rPr>
          <w:bCs/>
          <w:b/>
        </w:rPr>
        <w:t xml:space="preserve">Last-Mile Delivery Channel (within Europe - Downstream):</w:t>
      </w:r>
      <w:r>
        <w:t xml:space="preserve"> </w:t>
      </w:r>
      <w:r>
        <w:t xml:space="preserve">Road (Light Commercial Van) [cite: Delivery Type]</w:t>
      </w:r>
    </w:p>
    <w:p>
      <w:pPr>
        <w:numPr>
          <w:ilvl w:val="0"/>
          <w:numId w:val="1004"/>
        </w:numPr>
        <w:pStyle w:val="Compact"/>
      </w:pPr>
      <w:r>
        <w:rPr>
          <w:bCs/>
          <w:b/>
        </w:rPr>
        <w:t xml:space="preserve">Assumed Last-Mile Distance:</w:t>
      </w:r>
      <w:r>
        <w:t xml:space="preserve"> </w:t>
      </w:r>
      <w:r>
        <w:t xml:space="preserve">50 km</w:t>
      </w:r>
    </w:p>
    <w:p>
      <w:pPr>
        <w:numPr>
          <w:ilvl w:val="0"/>
          <w:numId w:val="1004"/>
        </w:numPr>
        <w:pStyle w:val="Compact"/>
      </w:pPr>
      <w:r>
        <w:rPr>
          <w:bCs/>
          <w:b/>
        </w:rPr>
        <w:t xml:space="preserve">Road Transport (HGV) Emission Factor:</w:t>
      </w:r>
      <w:r>
        <w:t xml:space="preserve"> </w:t>
      </w:r>
      <w:r>
        <w:t xml:space="preserve">0.1 kgCO2e/tonne-km (average for long-haul)</w:t>
      </w:r>
    </w:p>
    <w:p>
      <w:pPr>
        <w:numPr>
          <w:ilvl w:val="0"/>
          <w:numId w:val="1004"/>
        </w:numPr>
        <w:pStyle w:val="Compact"/>
      </w:pPr>
      <w:r>
        <w:rPr>
          <w:bCs/>
          <w:b/>
        </w:rPr>
        <w:t xml:space="preserve">Road Transport (Light Commercial Van) Emission Factor:</w:t>
      </w:r>
      <w:r>
        <w:t xml:space="preserve"> </w:t>
      </w:r>
      <w:r>
        <w:t xml:space="preserve">0.14 kgCO2e/tonne-km (average for vans up to 3.5 tonnes)</w:t>
      </w:r>
    </w:p>
    <w:bookmarkEnd w:id="33"/>
    <w:bookmarkStart w:id="34" w:name="X27e2ce5a83bf2be8eac71a258d90145f33a8260"/>
    <w:p>
      <w:pPr>
        <w:pStyle w:val="Heading3"/>
      </w:pPr>
      <w:r>
        <w:t xml:space="preserve">Use Phase Data (Geographic Scope: Europe Focused)</w:t>
      </w:r>
    </w:p>
    <w:p>
      <w:pPr>
        <w:numPr>
          <w:ilvl w:val="0"/>
          <w:numId w:val="1005"/>
        </w:numPr>
        <w:pStyle w:val="Compact"/>
      </w:pPr>
      <w:r>
        <w:rPr>
          <w:bCs/>
          <w:b/>
        </w:rPr>
        <w:t xml:space="preserve">Product Lifespan:</w:t>
      </w:r>
      <w:r>
        <w:t xml:space="preserve"> </w:t>
      </w:r>
      <w:r>
        <w:t xml:space="preserve">5 years [cite: wuipxhsqrh]</w:t>
      </w:r>
    </w:p>
    <w:p>
      <w:pPr>
        <w:numPr>
          <w:ilvl w:val="0"/>
          <w:numId w:val="1005"/>
        </w:numPr>
        <w:pStyle w:val="Compact"/>
      </w:pPr>
      <w:r>
        <w:rPr>
          <w:bCs/>
          <w:b/>
        </w:rPr>
        <w:t xml:space="preserve">Energy Consumption in Use:</w:t>
      </w:r>
      <w:r>
        <w:t xml:space="preserve"> </w:t>
      </w:r>
      <w:r>
        <w:t xml:space="preserve">100 kWh/year [cite: donpfdxgvm]</w:t>
      </w:r>
    </w:p>
    <w:p>
      <w:pPr>
        <w:numPr>
          <w:ilvl w:val="0"/>
          <w:numId w:val="1005"/>
        </w:numPr>
        <w:pStyle w:val="Compact"/>
      </w:pPr>
      <w:r>
        <w:rPr>
          <w:bCs/>
          <w:b/>
        </w:rPr>
        <w:t xml:space="preserve">Europe Grid Electricity Emission Factor:</w:t>
      </w:r>
      <w:r>
        <w:t xml:space="preserve"> </w:t>
      </w:r>
      <w:r>
        <w:t xml:space="preserve">0.20 kgCO2e/kWh (EU-27 average, considering recent reductions)</w:t>
      </w:r>
    </w:p>
    <w:bookmarkEnd w:id="34"/>
    <w:bookmarkStart w:id="35" w:name="end-of-life-eol-data"/>
    <w:p>
      <w:pPr>
        <w:pStyle w:val="Heading3"/>
      </w:pPr>
      <w:r>
        <w:t xml:space="preserve">End-of-Life (EoL) Data</w:t>
      </w:r>
    </w:p>
    <w:p>
      <w:pPr>
        <w:numPr>
          <w:ilvl w:val="0"/>
          <w:numId w:val="1006"/>
        </w:numPr>
        <w:pStyle w:val="Compact"/>
      </w:pPr>
      <w:r>
        <w:rPr>
          <w:bCs/>
          <w:b/>
        </w:rPr>
        <w:t xml:space="preserve">Recyclability Percentage:</w:t>
      </w:r>
      <w:r>
        <w:t xml:space="preserve"> </w:t>
      </w:r>
      <w:r>
        <w:t xml:space="preserve">80% [cite: fylsogmqqe]</w:t>
      </w:r>
    </w:p>
    <w:p>
      <w:pPr>
        <w:numPr>
          <w:ilvl w:val="0"/>
          <w:numId w:val="1006"/>
        </w:numPr>
        <w:pStyle w:val="Compact"/>
      </w:pPr>
      <w:r>
        <w:rPr>
          <w:bCs/>
          <w:b/>
        </w:rPr>
        <w:t xml:space="preserve">Circular/Take-back Programs:</w:t>
      </w:r>
      <w:r>
        <w:t xml:space="preserve"> </w:t>
      </w:r>
      <w:r>
        <w:t xml:space="preserve">Yes, an established take-back program is in place [cite: mifryhutir]</w:t>
      </w:r>
    </w:p>
    <w:p>
      <w:pPr>
        <w:numPr>
          <w:ilvl w:val="0"/>
          <w:numId w:val="1006"/>
        </w:numPr>
        <w:pStyle w:val="Compact"/>
      </w:pPr>
      <w:r>
        <w:rPr>
          <w:bCs/>
          <w:b/>
        </w:rPr>
        <w:t xml:space="preserve">Assumed Landfill Emission Factor (for disposed portion):</w:t>
      </w:r>
      <w:r>
        <w:t xml:space="preserve"> </w:t>
      </w:r>
      <w:r>
        <w:t xml:space="preserve">0.5 kgCO2e/kg (for mixed waste)</w:t>
      </w:r>
    </w:p>
    <w:p>
      <w:pPr>
        <w:numPr>
          <w:ilvl w:val="0"/>
          <w:numId w:val="1006"/>
        </w:numPr>
        <w:pStyle w:val="Compact"/>
      </w:pPr>
      <w:r>
        <w:rPr>
          <w:bCs/>
          <w:b/>
        </w:rPr>
        <w:t xml:space="preserve">Assumed Recycling Credit (for recycled portion):</w:t>
      </w:r>
      <w:r>
        <w:t xml:space="preserve"> </w:t>
      </w:r>
      <w:r>
        <w:t xml:space="preserve">-1.0 kgCO2e/kg (represents avoided virgin material production)</w:t>
      </w:r>
    </w:p>
    <w:p>
      <w:r>
        <w:pict>
          <v:rect style="width:0;height:1.5pt" o:hralign="center" o:hrstd="t" o:hr="t"/>
        </w:pict>
      </w:r>
    </w:p>
    <w:bookmarkEnd w:id="35"/>
    <w:bookmarkEnd w:id="36"/>
    <w:bookmarkStart w:id="44" w:name="calculate-emissions"/>
    <w:p>
      <w:pPr>
        <w:pStyle w:val="Heading2"/>
      </w:pPr>
      <w:r>
        <w:t xml:space="preserve">4. Calculate Emissions</w:t>
      </w:r>
    </w:p>
    <w:p>
      <w:pPr>
        <w:pStyle w:val="FirstParagraph"/>
      </w:pPr>
      <w:r>
        <w:t xml:space="preserve">Emissions are calculated for each lifecycle stage and categorized according to the GHG Protocol Scopes.</w:t>
      </w:r>
    </w:p>
    <w:bookmarkStart w:id="37" w:name="total-product-weight"/>
    <w:p>
      <w:pPr>
        <w:pStyle w:val="Heading3"/>
      </w:pPr>
      <w:r>
        <w:t xml:space="preserve">Total Product Weight</w:t>
      </w:r>
    </w:p>
    <w:p>
      <w:pPr>
        <w:pStyle w:val="FirstParagraph"/>
      </w:pPr>
      <w:r>
        <w:t xml:space="preserve">Based on the BOM, the total weight of one unit of</w:t>
      </w:r>
      <w:r>
        <w:t xml:space="preserve"> </w:t>
      </w:r>
      <w:r>
        <w:rPr>
          <w:bCs/>
          <w:b/>
        </w:rPr>
        <w:t xml:space="preserve">esdnmzqfoe</w:t>
      </w:r>
      <w:r>
        <w:t xml:space="preserve"> </w:t>
      </w:r>
      <w:r>
        <w:t xml:space="preserve">is 0.85 kg.</w:t>
      </w:r>
    </w:p>
    <w:bookmarkEnd w:id="37"/>
    <w:bookmarkStart w:id="38" w:name="materials-acquisition-scope-3---upstream"/>
    <w:p>
      <w:pPr>
        <w:pStyle w:val="Heading3"/>
      </w:pPr>
      <w:r>
        <w:t xml:space="preserve">Materials Acquisition (Scope 3 - Upstream)</w:t>
      </w:r>
    </w:p>
    <w:p>
      <w:pPr>
        <w:pStyle w:val="FirstParagraph"/>
      </w:pPr>
      <w:r>
        <w:t xml:space="preserve">Emissions from raw material extraction and pre-processing are directly taken from the \'Total Carbon\' column in the Detailed BOM, which is derived from the quantity and specific emission factor for each material.</w:t>
      </w:r>
    </w:p>
    <w:p>
      <w:pPr>
        <w:numPr>
          <w:ilvl w:val="0"/>
          <w:numId w:val="1007"/>
        </w:numPr>
        <w:pStyle w:val="Compact"/>
      </w:pPr>
      <w:r>
        <w:rPr>
          <w:bCs/>
          <w:b/>
        </w:rPr>
        <w:t xml:space="preserve">Total Emissions from Materials:</w:t>
      </w:r>
      <w:r>
        <w:t xml:space="preserve"> </w:t>
      </w:r>
      <w:r>
        <w:t xml:space="preserve">4.40 kgCO2e</w:t>
      </w:r>
    </w:p>
    <w:bookmarkEnd w:id="38"/>
    <w:bookmarkStart w:id="39" w:name="manufacturingproduction-scope-2"/>
    <w:p>
      <w:pPr>
        <w:pStyle w:val="Heading3"/>
      </w:pPr>
      <w:r>
        <w:t xml:space="preserve">Manufacturing/Production (Scope 2)</w:t>
      </w:r>
    </w:p>
    <w:p>
      <w:pPr>
        <w:pStyle w:val="FirstParagraph"/>
      </w:pPr>
      <w:r>
        <w:t xml:space="preserve">Emissions from energy consumption during manufacturing in China:</w:t>
      </w:r>
    </w:p>
    <w:p>
      <w:pPr>
        <w:numPr>
          <w:ilvl w:val="0"/>
          <w:numId w:val="1008"/>
        </w:numPr>
        <w:pStyle w:val="Compact"/>
      </w:pPr>
      <w:r>
        <w:rPr>
          <w:bCs/>
          <w:b/>
        </w:rPr>
        <w:t xml:space="preserve">Total Energy Consumption:</w:t>
      </w:r>
      <w:r>
        <w:t xml:space="preserve"> </w:t>
      </w:r>
      <w:r>
        <w:t xml:space="preserve">50 kWh/unit [cite: lwhuvxordz]</w:t>
      </w:r>
    </w:p>
    <w:p>
      <w:pPr>
        <w:numPr>
          <w:ilvl w:val="0"/>
          <w:numId w:val="1008"/>
        </w:numPr>
        <w:pStyle w:val="Compact"/>
      </w:pPr>
      <w:r>
        <w:rPr>
          <w:bCs/>
          <w:b/>
        </w:rPr>
        <w:t xml:space="preserve">Renewable Energy Used:</w:t>
      </w:r>
      <w:r>
        <w:t xml:space="preserve"> </w:t>
      </w:r>
      <w:r>
        <w:t xml:space="preserve">75% of 50 kWh = 37.5 kWh. Emissions = 0 kgCO2e (Scope 2, as purchased renewable energy is considered zero-emission at point of use).</w:t>
      </w:r>
    </w:p>
    <w:p>
      <w:pPr>
        <w:numPr>
          <w:ilvl w:val="0"/>
          <w:numId w:val="1008"/>
        </w:numPr>
        <w:pStyle w:val="Compact"/>
      </w:pPr>
      <w:r>
        <w:rPr>
          <w:bCs/>
          <w:b/>
        </w:rPr>
        <w:t xml:space="preserve">Non-Renewable Energy Used:</w:t>
      </w:r>
      <w:r>
        <w:t xml:space="preserve"> </w:t>
      </w:r>
      <w:r>
        <w:t xml:space="preserve">25% of 50 kWh = 12.5 kWh</w:t>
      </w:r>
    </w:p>
    <w:p>
      <w:pPr>
        <w:numPr>
          <w:ilvl w:val="0"/>
          <w:numId w:val="1008"/>
        </w:numPr>
        <w:pStyle w:val="Compact"/>
      </w:pPr>
      <w:r>
        <w:rPr>
          <w:bCs/>
          <w:b/>
        </w:rPr>
        <w:t xml:space="preserve">Emissions from Non-Renewable Energy:</w:t>
      </w:r>
      <w:r>
        <w:t xml:space="preserve"> </w:t>
      </w:r>
      <w:r>
        <w:t xml:space="preserve">12.5 kWh * 0.57 kgCO2e/kWh = 7.13 kgCO2e</w:t>
      </w:r>
    </w:p>
    <w:p>
      <w:pPr>
        <w:pStyle w:val="FirstParagraph"/>
      </w:pPr>
      <w:r>
        <w:rPr>
          <w:bCs/>
          <w:b/>
        </w:rPr>
        <w:t xml:space="preserve">Total Emissions from Manufacturing (Scope 2):</w:t>
      </w:r>
      <w:r>
        <w:t xml:space="preserve"> </w:t>
      </w:r>
      <w:r>
        <w:t xml:space="preserve">7.13 kgCO2e</w:t>
      </w:r>
    </w:p>
    <w:bookmarkEnd w:id="39"/>
    <w:bookmarkStart w:id="40" w:name="Xc78fa9e95fdc5a4841e5055035e97eb6a5c3c11"/>
    <w:p>
      <w:pPr>
        <w:pStyle w:val="Heading3"/>
      </w:pPr>
      <w:r>
        <w:t xml:space="preserve">Transport &amp; Distribution (Scope 3 - Upstream &amp; Downstream)</w:t>
      </w:r>
    </w:p>
    <w:p>
      <w:pPr>
        <w:pStyle w:val="FirstParagraph"/>
      </w:pPr>
      <w:r>
        <w:t xml:space="preserve">The transport calculations consider the product\'s total weight (0.85 kg).</w:t>
      </w:r>
    </w:p>
    <w:p>
      <w:pPr>
        <w:numPr>
          <w:ilvl w:val="0"/>
          <w:numId w:val="1009"/>
        </w:numPr>
        <w:pStyle w:val="Compact"/>
      </w:pPr>
      <w:r>
        <w:rPr>
          <w:bCs/>
          <w:b/>
        </w:rPr>
        <w:t xml:space="preserve">Primary Transport (Upstream - Europe to China):</w:t>
      </w:r>
    </w:p>
    <w:p>
      <w:pPr>
        <w:numPr>
          <w:ilvl w:val="1"/>
          <w:numId w:val="1010"/>
        </w:numPr>
        <w:pStyle w:val="Compact"/>
      </w:pPr>
      <w:r>
        <w:t xml:space="preserve">Distance: 1500 km [cite: pdfuvkkkdp]</w:t>
      </w:r>
    </w:p>
    <w:p>
      <w:pPr>
        <w:numPr>
          <w:ilvl w:val="1"/>
          <w:numId w:val="1010"/>
        </w:numPr>
        <w:pStyle w:val="Compact"/>
      </w:pPr>
      <w:r>
        <w:t xml:space="preserve">Weight: 0.85 kg = 0.00085 tonnes</w:t>
      </w:r>
    </w:p>
    <w:p>
      <w:pPr>
        <w:numPr>
          <w:ilvl w:val="1"/>
          <w:numId w:val="1010"/>
        </w:numPr>
        <w:pStyle w:val="Compact"/>
      </w:pPr>
      <w:r>
        <w:t xml:space="preserve">Emission Factor: 0.1 kgCO2e/tonne-km</w:t>
      </w:r>
    </w:p>
    <w:p>
      <w:pPr>
        <w:numPr>
          <w:ilvl w:val="1"/>
          <w:numId w:val="1010"/>
        </w:numPr>
        <w:pStyle w:val="Compact"/>
      </w:pPr>
      <w:r>
        <w:t xml:space="preserve">Emissions: 1500 km * 0.00085 tonnes * 0.1 kgCO2e/tonne-km = 0.1275 kgCO2e</w:t>
      </w:r>
    </w:p>
    <w:p>
      <w:pPr>
        <w:numPr>
          <w:ilvl w:val="0"/>
          <w:numId w:val="1009"/>
        </w:numPr>
        <w:pStyle w:val="Compact"/>
      </w:pPr>
      <w:r>
        <w:rPr>
          <w:bCs/>
          <w:b/>
        </w:rPr>
        <w:t xml:space="preserve">Last-Mile Delivery (Downstream - within Europe):</w:t>
      </w:r>
    </w:p>
    <w:p>
      <w:pPr>
        <w:numPr>
          <w:ilvl w:val="1"/>
          <w:numId w:val="1011"/>
        </w:numPr>
        <w:pStyle w:val="Compact"/>
      </w:pPr>
      <w:r>
        <w:t xml:space="preserve">Distance: 50 km</w:t>
      </w:r>
    </w:p>
    <w:p>
      <w:pPr>
        <w:numPr>
          <w:ilvl w:val="1"/>
          <w:numId w:val="1011"/>
        </w:numPr>
        <w:pStyle w:val="Compact"/>
      </w:pPr>
      <w:r>
        <w:t xml:space="preserve">Weight: 0.85 kg = 0.00085 tonnes</w:t>
      </w:r>
    </w:p>
    <w:p>
      <w:pPr>
        <w:numPr>
          <w:ilvl w:val="1"/>
          <w:numId w:val="1011"/>
        </w:numPr>
        <w:pStyle w:val="Compact"/>
      </w:pPr>
      <w:r>
        <w:t xml:space="preserve">Emission Factor: 0.14 kgCO2e/tonne-km</w:t>
      </w:r>
    </w:p>
    <w:p>
      <w:pPr>
        <w:numPr>
          <w:ilvl w:val="1"/>
          <w:numId w:val="1011"/>
        </w:numPr>
        <w:pStyle w:val="Compact"/>
      </w:pPr>
      <w:r>
        <w:t xml:space="preserve">Emissions: 50 km * 0.00085 tonnes * 0.14 kgCO2e/tonne-km = 0.00595 kgCO2e</w:t>
      </w:r>
    </w:p>
    <w:p>
      <w:pPr>
        <w:pStyle w:val="FirstParagraph"/>
      </w:pPr>
      <w:r>
        <w:rPr>
          <w:bCs/>
          <w:b/>
        </w:rPr>
        <w:t xml:space="preserve">Total Emissions from Transport &amp; Distribution (Scope 3):</w:t>
      </w:r>
      <w:r>
        <w:t xml:space="preserve"> </w:t>
      </w:r>
      <w:r>
        <w:t xml:space="preserve">0.1275 kgCO2e + 0.00595 kgCO2e = 0.13345 kgCO2e</w:t>
      </w:r>
    </w:p>
    <w:bookmarkEnd w:id="40"/>
    <w:bookmarkStart w:id="41" w:name="use-phase-scope-3---downstream"/>
    <w:p>
      <w:pPr>
        <w:pStyle w:val="Heading3"/>
      </w:pPr>
      <w:r>
        <w:t xml:space="preserve">Use Phase (Scope 3 - Downstream)</w:t>
      </w:r>
    </w:p>
    <w:p>
      <w:pPr>
        <w:pStyle w:val="FirstParagraph"/>
      </w:pPr>
      <w:r>
        <w:t xml:space="preserve">Energy consumption during the product\'s lifespan:</w:t>
      </w:r>
    </w:p>
    <w:p>
      <w:pPr>
        <w:numPr>
          <w:ilvl w:val="0"/>
          <w:numId w:val="1012"/>
        </w:numPr>
        <w:pStyle w:val="Compact"/>
      </w:pPr>
      <w:r>
        <w:rPr>
          <w:bCs/>
          <w:b/>
        </w:rPr>
        <w:t xml:space="preserve">Total Energy Consumption in Use:</w:t>
      </w:r>
      <w:r>
        <w:t xml:space="preserve"> </w:t>
      </w:r>
      <w:r>
        <w:t xml:space="preserve">100 kWh/year * 5 years [cite: wuipxhsqrh, donpfdxgvm] = 500 kWh</w:t>
      </w:r>
    </w:p>
    <w:p>
      <w:pPr>
        <w:numPr>
          <w:ilvl w:val="0"/>
          <w:numId w:val="1012"/>
        </w:numPr>
        <w:pStyle w:val="Compact"/>
      </w:pPr>
      <w:r>
        <w:rPr>
          <w:bCs/>
          <w:b/>
        </w:rPr>
        <w:t xml:space="preserve">Europe Grid Electricity Emission Factor:</w:t>
      </w:r>
      <w:r>
        <w:t xml:space="preserve"> </w:t>
      </w:r>
      <w:r>
        <w:t xml:space="preserve">0.20 kgCO2e/kWh</w:t>
      </w:r>
    </w:p>
    <w:p>
      <w:pPr>
        <w:numPr>
          <w:ilvl w:val="0"/>
          <w:numId w:val="1012"/>
        </w:numPr>
        <w:pStyle w:val="Compact"/>
      </w:pPr>
      <w:r>
        <w:rPr>
          <w:bCs/>
          <w:b/>
        </w:rPr>
        <w:t xml:space="preserve">Emissions:</w:t>
      </w:r>
      <w:r>
        <w:t xml:space="preserve"> </w:t>
      </w:r>
      <w:r>
        <w:t xml:space="preserve">500 kWh * 0.20 kgCO2e/kWh = 100.00 kgCO2e</w:t>
      </w:r>
    </w:p>
    <w:p>
      <w:pPr>
        <w:pStyle w:val="FirstParagraph"/>
      </w:pPr>
      <w:r>
        <w:rPr>
          <w:bCs/>
          <w:b/>
        </w:rPr>
        <w:t xml:space="preserve">Total Emissions from Use Phase (Scope 3):</w:t>
      </w:r>
      <w:r>
        <w:t xml:space="preserve"> </w:t>
      </w:r>
      <w:r>
        <w:t xml:space="preserve">100.00 kgCO2e</w:t>
      </w:r>
    </w:p>
    <w:bookmarkEnd w:id="41"/>
    <w:bookmarkStart w:id="42" w:name="end-of-life-eol-scope-3---downstream"/>
    <w:p>
      <w:pPr>
        <w:pStyle w:val="Heading3"/>
      </w:pPr>
      <w:r>
        <w:t xml:space="preserve">End-of-Life (EoL) (Scope 3 - Downstream)</w:t>
      </w:r>
    </w:p>
    <w:p>
      <w:pPr>
        <w:pStyle w:val="FirstParagraph"/>
      </w:pPr>
      <w:r>
        <w:t xml:space="preserve">Considering the recyclability and circular programs:</w:t>
      </w:r>
    </w:p>
    <w:p>
      <w:pPr>
        <w:numPr>
          <w:ilvl w:val="0"/>
          <w:numId w:val="1013"/>
        </w:numPr>
        <w:pStyle w:val="Compact"/>
      </w:pPr>
      <w:r>
        <w:rPr>
          <w:bCs/>
          <w:b/>
        </w:rPr>
        <w:t xml:space="preserve">Total Product Weight:</w:t>
      </w:r>
      <w:r>
        <w:t xml:space="preserve"> </w:t>
      </w:r>
      <w:r>
        <w:t xml:space="preserve">0.85 kg</w:t>
      </w:r>
    </w:p>
    <w:p>
      <w:pPr>
        <w:numPr>
          <w:ilvl w:val="0"/>
          <w:numId w:val="1013"/>
        </w:numPr>
        <w:pStyle w:val="Compact"/>
      </w:pPr>
      <w:r>
        <w:rPr>
          <w:bCs/>
          <w:b/>
        </w:rPr>
        <w:t xml:space="preserve">Recycled Portion:</w:t>
      </w:r>
      <w:r>
        <w:t xml:space="preserve"> </w:t>
      </w:r>
      <w:r>
        <w:t xml:space="preserve">0.85 kg * 80% [cite: fylsogmqqe] = 0.68 kg</w:t>
      </w:r>
    </w:p>
    <w:p>
      <w:pPr>
        <w:numPr>
          <w:ilvl w:val="0"/>
          <w:numId w:val="1013"/>
        </w:numPr>
        <w:pStyle w:val="Compact"/>
      </w:pPr>
      <w:r>
        <w:rPr>
          <w:bCs/>
          <w:b/>
        </w:rPr>
        <w:t xml:space="preserve">Disposed Portion (to landfill):</w:t>
      </w:r>
      <w:r>
        <w:t xml:space="preserve"> </w:t>
      </w:r>
      <w:r>
        <w:t xml:space="preserve">0.85 kg * (1 - 80%) = 0.17 kg</w:t>
      </w:r>
    </w:p>
    <w:p>
      <w:pPr>
        <w:numPr>
          <w:ilvl w:val="0"/>
          <w:numId w:val="1013"/>
        </w:numPr>
        <w:pStyle w:val="Compact"/>
      </w:pPr>
      <w:r>
        <w:rPr>
          <w:bCs/>
          <w:b/>
        </w:rPr>
        <w:t xml:space="preserve">Emissions from Disposal:</w:t>
      </w:r>
      <w:r>
        <w:t xml:space="preserve"> </w:t>
      </w:r>
      <w:r>
        <w:t xml:space="preserve">0.17 kg * 0.5 kgCO2e/kg = 0.085 kgCO2e</w:t>
      </w:r>
    </w:p>
    <w:p>
      <w:pPr>
        <w:numPr>
          <w:ilvl w:val="0"/>
          <w:numId w:val="1013"/>
        </w:numPr>
        <w:pStyle w:val="Compact"/>
      </w:pPr>
      <w:r>
        <w:rPr>
          <w:bCs/>
          <w:b/>
        </w:rPr>
        <w:t xml:space="preserve">Avoided Emissions from Recycling (credit):</w:t>
      </w:r>
      <w:r>
        <w:t xml:space="preserve"> </w:t>
      </w:r>
      <w:r>
        <w:t xml:space="preserve">0.68 kg * -1.0 kgCO2e/kg = -0.68 kgCO2e</w:t>
      </w:r>
    </w:p>
    <w:p>
      <w:pPr>
        <w:numPr>
          <w:ilvl w:val="0"/>
          <w:numId w:val="1013"/>
        </w:numPr>
        <w:pStyle w:val="Compact"/>
      </w:pPr>
      <w:r>
        <w:rPr>
          <w:bCs/>
          <w:b/>
        </w:rPr>
        <w:t xml:space="preserve">Circular/Take-back Programs:</w:t>
      </w:r>
      <w:r>
        <w:t xml:space="preserve"> </w:t>
      </w:r>
      <w:r>
        <w:t xml:space="preserve">The existence of "Yes, established take-back program" [cite: mifryhutir] facilitates the high recyclability rate and material recovery, contributing to avoided emissions.</w:t>
      </w:r>
    </w:p>
    <w:p>
      <w:pPr>
        <w:pStyle w:val="FirstParagraph"/>
      </w:pPr>
      <w:r>
        <w:rPr>
          <w:bCs/>
          <w:b/>
        </w:rPr>
        <w:t xml:space="preserve">Total Net Emissions from End-of-Life (Scope 3):</w:t>
      </w:r>
      <w:r>
        <w:t xml:space="preserve"> </w:t>
      </w:r>
      <w:r>
        <w:t xml:space="preserve">0.085 kgCO2e - 0.68 kgCO2e = -0.595 kgCO2e (a net credit due to significant recycling)</w:t>
      </w:r>
    </w:p>
    <w:bookmarkEnd w:id="42"/>
    <w:bookmarkStart w:id="43" w:name="Xa2905c2eb544e700c032c0c77c50a01bd7dc979"/>
    <w:p>
      <w:pPr>
        <w:pStyle w:val="Heading3"/>
      </w:pPr>
      <w:r>
        <w:t xml:space="preserve">Summary of Product Carbon Footprint (PCF) for esdnmzqfoe</w:t>
      </w:r>
    </w:p>
    <w:p>
      <w:pPr>
        <w:pStyle w:val="FirstParagraph"/>
      </w:pPr>
      <w:r>
        <w:t xml:space="preserve">The total Product Carbon Footprint for one functional unit of</w:t>
      </w:r>
      <w:r>
        <w:t xml:space="preserve"> </w:t>
      </w:r>
      <w:r>
        <w:rPr>
          <w:bCs/>
          <w:b/>
        </w:rPr>
        <w:t xml:space="preserve">esdnmzqfoe</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4.40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7.13</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111.06 kgCO2e</w:t>
            </w:r>
          </w:p>
        </w:tc>
      </w:tr>
    </w:tbl>
    <w:p>
      <w:pPr>
        <w:pStyle w:val="BodyText"/>
      </w:pPr>
      <w:r>
        <w:rPr>
          <w:bCs/>
          <w:b/>
        </w:rPr>
        <w:t xml:space="preserve">GHG Protocol 2026 LSR Update:</w:t>
      </w:r>
      <w:r>
        <w:t xml:space="preserve"> </w:t>
      </w:r>
      <w:r>
        <w:t xml:space="preserve">The Land Sector and Removals (LSR) Standard, applicable for 2026, aims to integrate land use and carbon removals more comprehensively. While specific data for direct LSR calculation for</w:t>
      </w:r>
      <w:r>
        <w:t xml:space="preserve"> </w:t>
      </w:r>
      <w:r>
        <w:rPr>
          <w:bCs/>
          <w:b/>
        </w:rPr>
        <w:t xml:space="preserve">esdnmzqfoe</w:t>
      </w:r>
      <w:r>
        <w:t xml:space="preserve">\'s bill of materials or processes were not provided in the parameters, it is acknowledged that land use change associated with raw material extraction (e.g., forestry for paper, mining for metals) and potential biogenic carbon flows would be captured under a full LSR assessment for enhanced accuracy in future reports. This report\'s calculations primarily focus on direct emissions and energy-related indirect emissions.</w:t>
      </w:r>
    </w:p>
    <w:p>
      <w:pPr>
        <w:pStyle w:val="BodyText"/>
      </w:pPr>
      <w:r>
        <w:rPr>
          <w:bCs/>
          <w:b/>
        </w:rPr>
        <w:t xml:space="preserve">Scope 3 Compliance:</w:t>
      </w:r>
      <w:r>
        <w:t xml:space="preserve"> </w:t>
      </w:r>
      <w:r>
        <w:t xml:space="preserve">This analysis targets at least 95% coverage for Scope 3 reporting, aligning with the 2026 requirements. The detailed breakdown across upstream and downstream activities aims to capture the majority of value chain emissions, with the BOM and lifecycle stage analysis providing significant coverage.</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Based on the calculations, the primary emission hotspots for</w:t>
      </w:r>
      <w:r>
        <w:t xml:space="preserve"> </w:t>
      </w:r>
      <w:r>
        <w:rPr>
          <w:bCs/>
          <w:b/>
        </w:rPr>
        <w:t xml:space="preserve">esdnmzqfoe</w:t>
      </w:r>
      <w:r>
        <w:t xml:space="preserve"> </w:t>
      </w:r>
      <w:r>
        <w:t xml:space="preserve">are:</w:t>
      </w:r>
    </w:p>
    <w:p>
      <w:pPr>
        <w:numPr>
          <w:ilvl w:val="0"/>
          <w:numId w:val="1014"/>
        </w:numPr>
        <w:pStyle w:val="Compact"/>
      </w:pPr>
      <w:r>
        <w:rPr>
          <w:bCs/>
          <w:b/>
        </w:rPr>
        <w:t xml:space="preserve">Use Phase (100.00 kgCO2e):</w:t>
      </w:r>
      <w:r>
        <w:t xml:space="preserve"> </w:t>
      </w:r>
      <w:r>
        <w:t xml:space="preserve">This is overwhelmingly the largest contributor, primarily due to the product\'s energy consumption over its 5-year lifespan. This highlights the critical importance of energy efficiency during product design and usage.</w:t>
      </w:r>
    </w:p>
    <w:p>
      <w:pPr>
        <w:numPr>
          <w:ilvl w:val="0"/>
          <w:numId w:val="1014"/>
        </w:numPr>
        <w:pStyle w:val="Compact"/>
      </w:pPr>
      <w:r>
        <w:rPr>
          <w:bCs/>
          <w:b/>
        </w:rPr>
        <w:t xml:space="preserve">Materials Acquisition &amp; Pre-processing (4.40 kgCO2e):</w:t>
      </w:r>
      <w:r>
        <w:t xml:space="preserve"> </w:t>
      </w:r>
      <w:r>
        <w:t xml:space="preserve">The embodied emissions in raw materials, particularly the Circuit Board and Battery, represent a significant upstream impact.</w:t>
      </w:r>
    </w:p>
    <w:p>
      <w:pPr>
        <w:numPr>
          <w:ilvl w:val="0"/>
          <w:numId w:val="1014"/>
        </w:numPr>
        <w:pStyle w:val="Compact"/>
      </w:pPr>
      <w:r>
        <w:rPr>
          <w:bCs/>
          <w:b/>
        </w:rPr>
        <w:t xml:space="preserve">Manufacturing/Production (7.13 kgCO2e):</w:t>
      </w:r>
      <w:r>
        <w:t xml:space="preserve"> </w:t>
      </w:r>
      <w:r>
        <w:t xml:space="preserve">While reduced by 75% renewable energy usage, the remaining grid electricity still contributes notably.</w:t>
      </w:r>
    </w:p>
    <w:bookmarkEnd w:id="45"/>
    <w:bookmarkStart w:id="46" w:name="reliability-and-limitations"/>
    <w:p>
      <w:pPr>
        <w:pStyle w:val="Heading3"/>
      </w:pPr>
      <w:r>
        <w:t xml:space="preserve">Reliability and Limitations</w:t>
      </w:r>
    </w:p>
    <w:p>
      <w:pPr>
        <w:pStyle w:val="FirstParagraph"/>
      </w:pPr>
      <w:r>
        <w:t xml:space="preserve">The reliability of this PCF is influenced by the following factors:</w:t>
      </w:r>
    </w:p>
    <w:p>
      <w:pPr>
        <w:numPr>
          <w:ilvl w:val="0"/>
          <w:numId w:val="1015"/>
        </w:numPr>
        <w:pStyle w:val="Compact"/>
      </w:pPr>
      <w:r>
        <w:rPr>
          <w:bCs/>
          <w:b/>
        </w:rPr>
        <w:t xml:space="preserve">Data Specificity:</w:t>
      </w:r>
      <w:r>
        <w:t xml:space="preserve"> </w:t>
      </w:r>
      <w:r>
        <w:t xml:space="preserve">The use of a detailed Bill of Materials (BOM) with specific emission factors enhances accuracy for material impacts.</w:t>
      </w:r>
    </w:p>
    <w:p>
      <w:pPr>
        <w:numPr>
          <w:ilvl w:val="0"/>
          <w:numId w:val="1015"/>
        </w:numPr>
        <w:pStyle w:val="Compact"/>
      </w:pPr>
      <w:r>
        <w:rPr>
          <w:bCs/>
          <w:b/>
        </w:rPr>
        <w:t xml:space="preserve">Assumed Data:</w:t>
      </w:r>
      <w:r>
        <w:t xml:space="preserve"> </w:t>
      </w:r>
      <w:r>
        <w:t xml:space="preserve">For parameters where placeholder names were provided (e.g., \'Select Mode\', \'pdfuvkkkdp\', \'Delivery Type\', \'jzwrpvojrs\', \'lwhuvxordz\', \'wuipxhsqrh\', \'donpfdxgvm\', \'fylsogmqqe\', \'mifryhutir\'), representative industry average values or reasonable estimates were used for calculations. While these estimates are based on current best practices and available data from sources like Ecoinvent and DEFRA, they may differ from actual specific values.</w:t>
      </w:r>
    </w:p>
    <w:p>
      <w:pPr>
        <w:numPr>
          <w:ilvl w:val="0"/>
          <w:numId w:val="1015"/>
        </w:numPr>
        <w:pStyle w:val="Compact"/>
      </w:pPr>
      <w:r>
        <w:rPr>
          <w:bCs/>
          <w:b/>
        </w:rPr>
        <w:t xml:space="preserve">Geographic Averaging:</w:t>
      </w:r>
      <w:r>
        <w:t xml:space="preserve"> </w:t>
      </w:r>
      <w:r>
        <w:t xml:space="preserve">Generic emission factors for electricity and transport for \'China\' and \'Europe\' represent regional averages and may not capture specific supplier or route efficiencies.</w:t>
      </w:r>
    </w:p>
    <w:p>
      <w:pPr>
        <w:numPr>
          <w:ilvl w:val="0"/>
          <w:numId w:val="1015"/>
        </w:numPr>
        <w:pStyle w:val="Compact"/>
      </w:pPr>
      <w:r>
        <w:rPr>
          <w:bCs/>
          <w:b/>
        </w:rPr>
        <w:t xml:space="preserve">LSR Standard:</w:t>
      </w:r>
      <w:r>
        <w:t xml:space="preserve"> </w:t>
      </w:r>
      <w:r>
        <w:t xml:space="preserve">A full implementation of the 2026 Land Sector and Removals (LSR) Standard would require more specific data on land use change impacts and biogenic carbon, which were beyond the scope of this general PCF.</w:t>
      </w:r>
    </w:p>
    <w:bookmarkEnd w:id="46"/>
    <w:bookmarkStart w:id="47" w:name="recommendations-for-emission-reduction"/>
    <w:p>
      <w:pPr>
        <w:pStyle w:val="Heading3"/>
      </w:pPr>
      <w:r>
        <w:t xml:space="preserve">Recommendations for Emission Reduction</w:t>
      </w:r>
    </w:p>
    <w:p>
      <w:pPr>
        <w:pStyle w:val="FirstParagraph"/>
      </w:pPr>
      <w:r>
        <w:t xml:space="preserve">To significantly reduce the carbon footprint of</w:t>
      </w:r>
      <w:r>
        <w:t xml:space="preserve"> </w:t>
      </w:r>
      <w:r>
        <w:rPr>
          <w:bCs/>
          <w:b/>
        </w:rPr>
        <w:t xml:space="preserve">esdnmzqfoe</w:t>
      </w:r>
      <w:r>
        <w:t xml:space="preserve">,</w:t>
      </w:r>
      <w:r>
        <w:t xml:space="preserve"> </w:t>
      </w:r>
      <w:r>
        <w:rPr>
          <w:bCs/>
          <w:b/>
        </w:rPr>
        <w:t xml:space="preserve">qdvelpldhv</w:t>
      </w:r>
      <w:r>
        <w:t xml:space="preserve"> </w:t>
      </w:r>
      <w:r>
        <w:t xml:space="preserve">should focus on the following:</w:t>
      </w:r>
    </w:p>
    <w:p>
      <w:pPr>
        <w:numPr>
          <w:ilvl w:val="0"/>
          <w:numId w:val="1016"/>
        </w:numPr>
        <w:pStyle w:val="Compact"/>
      </w:pPr>
      <w:r>
        <w:rPr>
          <w:bCs/>
          <w:b/>
        </w:rPr>
        <w:t xml:space="preserve">Enhance Use Phase Energy Efficiency:</w:t>
      </w:r>
      <w:r>
        <w:t xml:space="preserve"> </w:t>
      </w:r>
      <w:r>
        <w:t xml:space="preserve">Redesigning the product for lower energy consumption during its operational life is paramount. This could involve using more energy-efficient components, optimizing power management, or exploring alternative power sources.</w:t>
      </w:r>
    </w:p>
    <w:p>
      <w:pPr>
        <w:numPr>
          <w:ilvl w:val="0"/>
          <w:numId w:val="1016"/>
        </w:numPr>
        <w:pStyle w:val="Compact"/>
      </w:pPr>
      <w:r>
        <w:rPr>
          <w:bCs/>
          <w:b/>
        </w:rPr>
        <w:t xml:space="preserve">Sustainable Material Sourcing:</w:t>
      </w:r>
      <w:r>
        <w:t xml:space="preserve"> </w:t>
      </w:r>
      <w:r>
        <w:t xml:space="preserve">Investigate and prioritize sourcing raw materials with lower embodied carbon, focusing on high-impact components like circuit boards and batteries. This includes engaging with suppliers for primary data on their production emissions.</w:t>
      </w:r>
    </w:p>
    <w:p>
      <w:pPr>
        <w:numPr>
          <w:ilvl w:val="0"/>
          <w:numId w:val="1016"/>
        </w:numPr>
        <w:pStyle w:val="Compact"/>
      </w:pPr>
      <w:r>
        <w:rPr>
          <w:bCs/>
          <w:b/>
        </w:rPr>
        <w:t xml:space="preserve">Increase Renewable Energy in Manufacturing:</w:t>
      </w:r>
      <w:r>
        <w:t xml:space="preserve"> </w:t>
      </w:r>
      <w:r>
        <w:t xml:space="preserve">While already at 75% [cite: jzwrpvojrs], further increasing renewable energy procurement at the manufacturing facility in China, or investing in on-site renewable generation, will directly reduce Scope 2 emissions.</w:t>
      </w:r>
    </w:p>
    <w:p>
      <w:pPr>
        <w:numPr>
          <w:ilvl w:val="0"/>
          <w:numId w:val="1016"/>
        </w:numPr>
        <w:pStyle w:val="Compact"/>
      </w:pPr>
      <w:r>
        <w:rPr>
          <w:bCs/>
          <w:b/>
        </w:rPr>
        <w:t xml:space="preserve">Optimize Logistics:</w:t>
      </w:r>
      <w:r>
        <w:t xml:space="preserve"> </w:t>
      </w:r>
      <w:r>
        <w:t xml:space="preserve">Evaluate opportunities to optimize transportation routes, switch to lower-emission transport modes where feasible, and improve load factors for both upstream and downstream logistics.</w:t>
      </w:r>
    </w:p>
    <w:p>
      <w:pPr>
        <w:numPr>
          <w:ilvl w:val="0"/>
          <w:numId w:val="1016"/>
        </w:numPr>
        <w:pStyle w:val="Compact"/>
      </w:pPr>
      <w:r>
        <w:rPr>
          <w:bCs/>
          <w:b/>
        </w:rPr>
        <w:t xml:space="preserve">Strengthen Circularity:</w:t>
      </w:r>
      <w:r>
        <w:t xml:space="preserve"> </w:t>
      </w:r>
      <w:r>
        <w:t xml:space="preserve">Leverage and expand the existing take-back program [cite: mifryhutir] to ensure maximum material recovery and explore opportunities for product refurbishment, reuse, or closed-loop recycling to maximize avoided emissions at end-of-life.</w:t>
      </w:r>
    </w:p>
    <w:p>
      <w:r>
        <w:pict>
          <v:rect style="width:0;height:1.5pt" o:hralign="center" o:hrstd="t" o:hr="t"/>
        </w:pict>
      </w:r>
    </w:p>
    <w:bookmarkEnd w:id="47"/>
    <w:bookmarkEnd w:id="48"/>
    <w:bookmarkStart w:id="49" w:name="conclusion"/>
    <w:p>
      <w:pPr>
        <w:pStyle w:val="Heading2"/>
      </w:pPr>
      <w:r>
        <w:t xml:space="preserve">Conclusion</w:t>
      </w:r>
    </w:p>
    <w:p>
      <w:pPr>
        <w:pStyle w:val="FirstParagraph"/>
      </w:pPr>
      <w:r>
        <w:t xml:space="preserve">This Product Carbon Footprint analysis for</w:t>
      </w:r>
      <w:r>
        <w:t xml:space="preserve"> </w:t>
      </w:r>
      <w:r>
        <w:rPr>
          <w:bCs/>
          <w:b/>
        </w:rPr>
        <w:t xml:space="preserve">esdnmzqfoe</w:t>
      </w:r>
      <w:r>
        <w:t xml:space="preserve">, conducted by</w:t>
      </w:r>
      <w:r>
        <w:t xml:space="preserve"> </w:t>
      </w:r>
      <w:r>
        <w:rPr>
          <w:bCs/>
          <w:b/>
        </w:rPr>
        <w:t xml:space="preserve">hyulnienzd</w:t>
      </w:r>
      <w:r>
        <w:t xml:space="preserve"> </w:t>
      </w:r>
      <w:r>
        <w:t xml:space="preserve">for</w:t>
      </w:r>
      <w:r>
        <w:t xml:space="preserve"> </w:t>
      </w:r>
      <w:r>
        <w:rPr>
          <w:bCs/>
          <w:b/>
        </w:rPr>
        <w:t xml:space="preserve">qdvelpldhv</w:t>
      </w:r>
      <w:r>
        <w:t xml:space="preserve"> </w:t>
      </w:r>
      <w:r>
        <w:t xml:space="preserve">under the GHG Protocol, provides crucial insights into its environmental performance. With a total PCF of</w:t>
      </w:r>
      <w:r>
        <w:t xml:space="preserve"> </w:t>
      </w:r>
      <w:r>
        <w:rPr>
          <w:bCs/>
          <w:b/>
        </w:rPr>
        <w:t xml:space="preserve">111.06 kgCO2e</w:t>
      </w:r>
      <w:r>
        <w:t xml:space="preserve"> </w:t>
      </w:r>
      <w:r>
        <w:t xml:space="preserve">per unit, the report clearly identifies the use phase as the dominant contributor to overall emissions. By strategically addressing the identified hotspots—primarily through enhanced energy efficiency, sustainable material choices, and robust circular economy initiatives—</w:t>
      </w:r>
      <w:r>
        <w:rPr>
          <w:bCs/>
          <w:b/>
        </w:rPr>
        <w:t xml:space="preserve">qdvelpldhv</w:t>
      </w:r>
      <w:r>
        <w:t xml:space="preserve"> </w:t>
      </w:r>
      <w:r>
        <w:t xml:space="preserve">can significantly reduce the environmental impact of</w:t>
      </w:r>
      <w:r>
        <w:t xml:space="preserve"> </w:t>
      </w:r>
      <w:r>
        <w:rPr>
          <w:bCs/>
          <w:b/>
        </w:rPr>
        <w:t xml:space="preserve">esdnmzqfoe</w:t>
      </w:r>
      <w:r>
        <w:t xml:space="preserve"> </w:t>
      </w:r>
      <w:r>
        <w:t xml:space="preserve">and demonstrate strong leadership in sustainability.</w:t>
      </w:r>
    </w:p>
    <w:p>
      <w:pPr>
        <w:pStyle w:val="BodyText"/>
      </w:pPr>
      <w:r>
        <w:t xml:space="preserve">Confidential - Internal Use Only | Page</w:t>
      </w:r>
      <w:r>
        <w:t xml:space="preserve"> </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esdnmzqfoe</dc:title>
  <dc:creator/>
  <dc:description>Detailed Product Carbon Footprint (PCF) analysis report for esdnmzqfoe, performed by hyulnienzd, a Senior Sustainability Consultant, adhering to GHG Protocol standards.</dc:description>
  <dc:language>en</dc:language>
  <cp:keywords/>
  <dcterms:created xsi:type="dcterms:W3CDTF">2026-05-30T20:08:38Z</dcterms:created>
  <dcterms:modified xsi:type="dcterms:W3CDTF">2026-05-30T20:08:38Z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