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erfgxgrljt</w:t>
      </w:r>
      <w:r>
        <w:t xml:space="preserve"> </w:t>
      </w:r>
      <w:r>
        <w:t xml:space="preserve">Product</w:t>
      </w:r>
      <w:r>
        <w:t xml:space="preserve"> </w:t>
      </w:r>
      <w:r>
        <w:t xml:space="preserve">-</w:t>
      </w:r>
      <w:r>
        <w:t xml:space="preserve"> </w:t>
      </w:r>
      <w:r>
        <w:t xml:space="preserve">pemtispssp</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erfgxgrljt"/>
    <w:p>
      <w:pPr>
        <w:pStyle w:val="Heading2"/>
      </w:pPr>
      <w:r>
        <w:t xml:space="preserve">For Product: erfgxgrljt</w:t>
      </w:r>
    </w:p>
    <w:p>
      <w:pPr>
        <w:pStyle w:val="FirstParagraph"/>
      </w:pPr>
      <w:r>
        <w:rPr>
          <w:bCs/>
          <w:b/>
        </w:rPr>
        <w:t xml:space="preserve">Company Name:</w:t>
      </w:r>
      <w:r>
        <w:t xml:space="preserve"> </w:t>
      </w:r>
      <w:r>
        <w:t xml:space="preserve">pemtispssp</w:t>
      </w:r>
    </w:p>
    <w:p>
      <w:pPr>
        <w:pStyle w:val="BodyText"/>
      </w:pPr>
      <w:r>
        <w:rPr>
          <w:bCs/>
          <w:b/>
        </w:rPr>
        <w:t xml:space="preserve">Senior Sustainability Consultant:</w:t>
      </w:r>
      <w:r>
        <w:t xml:space="preserve"> </w:t>
      </w:r>
      <w:r>
        <w:t xml:space="preserve">qpfkuwsxvp</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providing an estimate of the product\'s carbon footprint. Actual emissions may vary, and for certain parameters, illustrative numerical values have been assumed to demonstrate the calculation methodology.</w:t>
      </w:r>
    </w:p>
    <w:bookmarkEnd w:id="20"/>
    <w:bookmarkEnd w:id="21"/>
    <w:bookmarkStart w:id="22" w:name="product-carbon-footprint-analysis-report"/>
    <w:p>
      <w:pPr>
        <w:pStyle w:val="Heading1"/>
      </w:pPr>
      <w:r>
        <w:t xml:space="preserve">Product Carbon Footprint Analysis Report</w:t>
      </w:r>
    </w:p>
    <w:p>
      <w:pPr>
        <w:pStyle w:val="FirstParagraph"/>
      </w:pPr>
      <w:r>
        <w:t xml:space="preserve">Product: erfgxgrljt | Company: pemtispssp</w:t>
      </w:r>
    </w:p>
    <w:p>
      <w:pPr>
        <w:pStyle w:val="BodyText"/>
      </w:pPr>
      <w:r>
        <w:t xml:space="preserve">Generated Date: May 20, 2026</w: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\'erfgxgrljt\' product manufactured by \'pemtispwssp\'. Conducted by Senior Sustainability Consultant \'qpfkuwsxvp\', this analysis adheres strictly to the GHG Protocol, incorporating the 2026 Land Sector and Removals (LSR) Standard and ensuring over 95% coverage for Scope 3 emissions. The total estimated carbon footprint for the functional unit (1.0 unit) of \'erfgxgrljt\' is calculated across its lifecycle, from raw material acquisition (cradle) through manufacturing, transport, use, and end-of-life (EoL) within a \'factory_gate\' system boundary, extended to include downstream phases for comprehensive Scope 3 reporting. Key hotspots include material acquisition and the use phase, with significant opportunities for emission reduction through renewable energy integration and circular economy initiatives. The total calculated PCF for one unit of erfgxgrljt is</w:t>
      </w:r>
      <w:r>
        <w:t xml:space="preserve"> </w:t>
      </w:r>
      <w:r>
        <w:rPr>
          <w:bCs/>
          <w:b/>
        </w:rPr>
        <w:t xml:space="preserve">105.14 kg CO2e</w:t>
      </w:r>
      <w:r>
        <w:t xml:space="preserve">.</w:t>
      </w:r>
    </w:p>
    <w:p>
      <w:r>
        <w:pict>
          <v:rect style="width:0;height:1.5pt" o:hralign="center" o:hrstd="t" o:hr="t"/>
        </w:pict>
      </w:r>
    </w:p>
    <w:bookmarkEnd w:id="23"/>
    <w:bookmarkStart w:id="29" w:name="methodology-and-scope-definition"/>
    <w:p>
      <w:pPr>
        <w:pStyle w:val="Heading2"/>
      </w:pPr>
      <w:r>
        <w:t xml:space="preserve">2. Methodology and Scope Definition</w:t>
      </w:r>
    </w:p>
    <w:bookmarkStart w:id="24" w:name="functional-unit"/>
    <w:p>
      <w:pPr>
        <w:pStyle w:val="Heading3"/>
      </w:pPr>
      <w:r>
        <w:t xml:space="preserve">2.1. Functional Unit</w:t>
      </w:r>
    </w:p>
    <w:p>
      <w:pPr>
        <w:pStyle w:val="FirstParagraph"/>
      </w:pPr>
      <w:r>
        <w:t xml:space="preserve">The defined functional unit for this PCF analysis is</w:t>
      </w:r>
      <w:r>
        <w:t xml:space="preserve"> </w:t>
      </w:r>
      <w:r>
        <w:rPr>
          <w:bCs/>
          <w:b/>
        </w:rPr>
        <w:t xml:space="preserve">1.0 unit of erfgxgrljt</w:t>
      </w:r>
      <w:r>
        <w:t xml:space="preserve">, representing the quantifiable performance of the product over its specified lifespan.</w:t>
      </w:r>
    </w:p>
    <w:bookmarkEnd w:id="24"/>
    <w:bookmarkStart w:id="25" w:name="system-boundary"/>
    <w:p>
      <w:pPr>
        <w:pStyle w:val="Heading3"/>
      </w:pPr>
      <w:r>
        <w:t xml:space="preserve">2.2. System Boundary</w:t>
      </w:r>
    </w:p>
    <w:p>
      <w:pPr>
        <w:pStyle w:val="FirstParagraph"/>
      </w:pPr>
      <w:r>
        <w:t xml:space="preserve">The system boundary for this analysis is defined as</w:t>
      </w:r>
      <w:r>
        <w:t xml:space="preserve"> </w:t>
      </w:r>
      <w:r>
        <w:rPr>
          <w:bCs/>
          <w:b/>
        </w:rPr>
        <w:t xml:space="preserve">"factory_gate"</w:t>
      </w:r>
      <w:r>
        <w:t xml:space="preserve">, focusing on emissions up to the point the product leaves the manufacturing facility. However, in accordance with the GHG Protocol Product Standard and the requirement for comprehensive Scope 3 reporting, emissions associated with downstream transportation (last-mile delivery), the use phase, and end-of-life scenarios are also considered and quantified separately to provide a holistic view of the product\'s lifecycle impact. This extended boundary ensures a more complete "cradle-to-grave" understanding within the reporting framework.</w:t>
      </w:r>
    </w:p>
    <w:bookmarkEnd w:id="25"/>
    <w:bookmarkStart w:id="26" w:name="geographic-scope"/>
    <w:p>
      <w:pPr>
        <w:pStyle w:val="Heading3"/>
      </w:pPr>
      <w:r>
        <w:t xml:space="preserve">2.3. Geographic Scope</w:t>
      </w:r>
    </w:p>
    <w:p>
      <w:pPr>
        <w:pStyle w:val="FirstParagraph"/>
      </w:pPr>
      <w:r>
        <w:t xml:space="preserve">The final production country for \'erfgxgrljt\' is</w:t>
      </w:r>
      <w:r>
        <w:t xml:space="preserve"> </w:t>
      </w:r>
      <w:r>
        <w:rPr>
          <w:bCs/>
          <w:b/>
        </w:rPr>
        <w:t xml:space="preserve">China</w:t>
      </w:r>
      <w:r>
        <w:t xml:space="preserve">. The supply chain focus is primarily</w:t>
      </w:r>
      <w:r>
        <w:t xml:space="preserve"> </w:t>
      </w:r>
      <w:r>
        <w:rPr>
          <w:bCs/>
          <w:b/>
        </w:rPr>
        <w:t xml:space="preserve">Europe Focused</w:t>
      </w:r>
      <w:r>
        <w:t xml:space="preserve">. Emission factors and energy mixes are selected to reflect these geographical contexts where specific data is available or reasonable assumptions can be made.</w:t>
      </w:r>
    </w:p>
    <w:bookmarkEnd w:id="26"/>
    <w:bookmarkStart w:id="27" w:name="allocation"/>
    <w:p>
      <w:pPr>
        <w:pStyle w:val="Heading3"/>
      </w:pPr>
      <w:r>
        <w:t xml:space="preserve">2.4. Allocation</w:t>
      </w:r>
    </w:p>
    <w:p>
      <w:pPr>
        <w:pStyle w:val="FirstParagraph"/>
      </w:pPr>
      <w:r>
        <w:t xml:space="preserve">No specific co-product or by-product allocation issues were identified that require deviation from standard mass-based allocation principles for this analysis. Where applicable, recycled content has been accounted for using the "recycled content" approach as per GHG Protocol guidelines.</w:t>
      </w:r>
    </w:p>
    <w:bookmarkEnd w:id="27"/>
    <w:bookmarkStart w:id="28" w:name="accounting-standard"/>
    <w:p>
      <w:pPr>
        <w:pStyle w:val="Heading3"/>
      </w:pPr>
      <w:r>
        <w:t xml:space="preserve">2.5. Accounting Standard</w:t>
      </w:r>
    </w:p>
    <w:p>
      <w:pPr>
        <w:pStyle w:val="FirstParagraph"/>
      </w:pPr>
      <w:r>
        <w:t xml:space="preserve">This Product Carbon Footprint analysis is conducted in full compliance with the</w:t>
      </w:r>
      <w:r>
        <w:t xml:space="preserve"> </w:t>
      </w:r>
      <w:r>
        <w:rPr>
          <w:bCs/>
          <w:b/>
        </w:rPr>
        <w:t xml:space="preserve">GHG Protocol (Product Standard)</w:t>
      </w:r>
      <w:r>
        <w:t xml:space="preserve">. Furthermore, it incorporates the requirements of the</w:t>
      </w:r>
      <w:r>
        <w:t xml:space="preserve"> </w:t>
      </w:r>
      <w:r>
        <w:rPr>
          <w:bCs/>
          <w:b/>
        </w:rPr>
        <w:t xml:space="preserve">2026 Land Sector and Removals (LSR) Standard</w:t>
      </w:r>
      <w:r>
        <w:t xml:space="preserve"> </w:t>
      </w:r>
      <w:r>
        <w:t xml:space="preserve">for land use and carbon removals, and ensures at least</w:t>
      </w:r>
      <w:r>
        <w:t xml:space="preserve"> </w:t>
      </w:r>
      <w:r>
        <w:rPr>
          <w:bCs/>
          <w:b/>
        </w:rPr>
        <w:t xml:space="preserve">95% coverage for Scope 3 reporting</w:t>
      </w:r>
      <w:r>
        <w:t xml:space="preserve">, aligning with anticipated 2026 requirements for comprehensive value chain transparency.</w:t>
      </w:r>
    </w:p>
    <w:p>
      <w:r>
        <w:pict>
          <v:rect style="width:0;height:1.5pt" o:hralign="center" o:hrstd="t" o:hr="t"/>
        </w:pict>
      </w:r>
    </w:p>
    <w:bookmarkEnd w:id="28"/>
    <w:bookmarkEnd w:id="29"/>
    <w:bookmarkStart w:id="35" w:name="X17a80f01b8758d132a5feac1d5fbf69c99f1cb9"/>
    <w:p>
      <w:pPr>
        <w:pStyle w:val="Heading2"/>
      </w:pPr>
      <w:r>
        <w:t xml:space="preserve">3. Lifecycle Inventory Stages and Data Collection</w:t>
      </w:r>
    </w:p>
    <w:p>
      <w:pPr>
        <w:pStyle w:val="FirstParagraph"/>
      </w:pPr>
      <w:r>
        <w:t xml:space="preserve">This section details the lifecycle stages considered and the data points collected, categorized by GHG Protocol scopes.</w:t>
      </w:r>
    </w:p>
    <w:bookmarkStart w:id="30" w:name="Xa124a95b981c370289279a4b723120ad8e79cc2"/>
    <w:p>
      <w:pPr>
        <w:pStyle w:val="Heading3"/>
      </w:pPr>
      <w:r>
        <w:t xml:space="preserve">3.1. Materials Acquisition &amp; Pre-processing (Scope 3 - Upstream)</w:t>
      </w:r>
    </w:p>
    <w:p>
      <w:pPr>
        <w:pStyle w:val="FirstParagraph"/>
      </w:pPr>
      <w:r>
        <w:t xml:space="preserve">The detailed Bill of Materials (BOM) for \'erfgxgrljt\' was provided as `lrhsvlxw`. This data has been used directly for calculating the carbon impact of raw materials and their pre-processing. Below is a breakdown of the material inputs and their associated carbon emissions, utilizing the specific emission factors and total carbon values provided in the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15.0</w:t>
            </w:r>
          </w:p>
        </w:tc>
        <w:tc>
          <w:tcPr/>
          <w:p>
            <w:pPr>
              <w:pStyle w:val="Compact"/>
              <w:jc w:val="left"/>
            </w:pPr>
            <w:r>
              <w:t xml:space="preserve">kg</w:t>
            </w:r>
          </w:p>
        </w:tc>
        <w:tc>
          <w:tcPr/>
          <w:p>
            <w:pPr>
              <w:pStyle w:val="Compact"/>
              <w:jc w:val="left"/>
            </w:pPr>
            <w:r>
              <w:t xml:space="preserve">2.5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7.0</w:t>
            </w:r>
          </w:p>
        </w:tc>
        <w:tc>
          <w:tcPr/>
          <w:p>
            <w:pPr>
              <w:pStyle w:val="Compact"/>
              <w:jc w:val="left"/>
            </w:pPr>
            <w:r>
              <w:t xml:space="preserve">kg</w:t>
            </w:r>
          </w:p>
        </w:tc>
        <w:tc>
          <w:tcPr/>
          <w:p>
            <w:pPr>
              <w:pStyle w:val="Compact"/>
              <w:jc w:val="left"/>
            </w:pPr>
            <w:r>
              <w:t xml:space="preserve">1.8</w:t>
            </w:r>
          </w:p>
        </w:tc>
        <w:tc>
          <w:tcPr/>
          <w:p>
            <w:pPr>
              <w:pStyle w:val="Compact"/>
              <w:jc w:val="left"/>
            </w:pPr>
            <w:r>
              <w:t xml:space="preserve">12.6</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3.2</w:t>
            </w:r>
          </w:p>
        </w:tc>
        <w:tc>
          <w:tcPr/>
          <w:p>
            <w:pPr>
              <w:pStyle w:val="Compact"/>
              <w:jc w:val="left"/>
            </w:pPr>
            <w:r>
              <w:t xml:space="preserve">6.4</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1.2</w:t>
            </w:r>
          </w:p>
        </w:tc>
        <w:tc>
          <w:tcPr/>
          <w:p>
            <w:pPr>
              <w:pStyle w:val="Compact"/>
              <w:jc w:val="left"/>
            </w:pPr>
            <w:r>
              <w:t xml:space="preserve">1.2</w:t>
            </w:r>
          </w:p>
        </w:tc>
      </w:tr>
    </w:tbl>
    <w:p>
      <w:pPr>
        <w:pStyle w:val="BodyText"/>
      </w:pPr>
      <w:r>
        <w:rPr>
          <w:iCs/>
          <w:i/>
        </w:rPr>
        <w:t xml:space="preserve">Note: The above table directly uses the values provided in the `lrhsvlxw` BOM string for material quantities, emission factors, and total carbon.</w:t>
      </w:r>
    </w:p>
    <w:bookmarkEnd w:id="30"/>
    <w:bookmarkStart w:id="31" w:name="manufacturing-scope-1-2"/>
    <w:p>
      <w:pPr>
        <w:pStyle w:val="Heading3"/>
      </w:pPr>
      <w:r>
        <w:t xml:space="preserve">3.2. Manufacturing (Scope 1 &amp; 2)</w:t>
      </w:r>
    </w:p>
    <w:p>
      <w:pPr>
        <w:pStyle w:val="FirstParagraph"/>
      </w:pPr>
      <w:r>
        <w:t xml:space="preserve">The manufacturing phase emissions are primarily driven by energy consumption at the production facility in China.</w:t>
      </w:r>
    </w:p>
    <w:p>
      <w:pPr>
        <w:numPr>
          <w:ilvl w:val="0"/>
          <w:numId w:val="1001"/>
        </w:numPr>
        <w:pStyle w:val="Compact"/>
      </w:pPr>
      <w:r>
        <w:rPr>
          <w:bCs/>
          <w:b/>
        </w:rPr>
        <w:t xml:space="preserve">Energy Intensity:</w:t>
      </w:r>
      <w:r>
        <w:t xml:space="preserve"> </w:t>
      </w:r>
      <w:r>
        <w:rPr>
          <w:bCs/>
          <w:b/>
        </w:rPr>
        <w:t xml:space="preserve">kkhowihjxq</w:t>
      </w:r>
      <w:r>
        <w:t xml:space="preserve"> </w:t>
      </w:r>
      <w:r>
        <w:t xml:space="preserve">kWh/unit (for \'erfgxgrljt\')</w:t>
      </w:r>
    </w:p>
    <w:p>
      <w:pPr>
        <w:numPr>
          <w:ilvl w:val="0"/>
          <w:numId w:val="1001"/>
        </w:numPr>
        <w:pStyle w:val="Compact"/>
      </w:pPr>
      <w:r>
        <w:rPr>
          <w:bCs/>
          <w:b/>
        </w:rPr>
        <w:t xml:space="preserve">Renewable Energy Usage:</w:t>
      </w:r>
      <w:r>
        <w:t xml:space="preserve"> </w:t>
      </w:r>
      <w:r>
        <w:rPr>
          <w:bCs/>
          <w:b/>
        </w:rPr>
        <w:t xml:space="preserve">hzvetlsyiq</w:t>
      </w:r>
    </w:p>
    <w:p>
      <w:pPr>
        <w:numPr>
          <w:ilvl w:val="0"/>
          <w:numId w:val="1001"/>
        </w:numPr>
        <w:pStyle w:val="Compact"/>
      </w:pPr>
      <w:r>
        <w:t xml:space="preserve">Primary data for direct emissions (Scope 1) from owned or controlled sources (e.g., combustion of natural gas for heating) are assumed to be negligible for this product\'s manufacturing process, or implicitly covered by the overall energy intensity if electricity is the dominant energy source.</w:t>
      </w:r>
    </w:p>
    <w:p>
      <w:pPr>
        <w:numPr>
          <w:ilvl w:val="0"/>
          <w:numId w:val="1001"/>
        </w:numPr>
        <w:pStyle w:val="Compact"/>
      </w:pPr>
      <w:r>
        <w:t xml:space="preserve">Secondary data for grid electricity emission factors for China are sourced from industry standards for calculation. For illustrative purposes, an average grid electricity emission factor for China is assumed to be 0.6 kg CO2e/kWh.</w:t>
      </w:r>
    </w:p>
    <w:bookmarkEnd w:id="31"/>
    <w:bookmarkStart w:id="32" w:name="X9795cd1974d18f66faafdaafe7a0219ede81315"/>
    <w:p>
      <w:pPr>
        <w:pStyle w:val="Heading3"/>
      </w:pPr>
      <w:r>
        <w:t xml:space="preserve">3.3. Transport &amp; Logistics (Scope 3 - Upstream &amp; Downstream)</w:t>
      </w:r>
    </w:p>
    <w:p>
      <w:pPr>
        <w:pStyle w:val="FirstParagraph"/>
      </w:pPr>
      <w:r>
        <w:t xml:space="preserve">Logistics data incorporated into the supply chain analysis:</w:t>
      </w:r>
    </w:p>
    <w:p>
      <w:pPr>
        <w:numPr>
          <w:ilvl w:val="0"/>
          <w:numId w:val="1002"/>
        </w:numPr>
        <w:pStyle w:val="Compact"/>
      </w:pPr>
      <w:r>
        <w:rPr>
          <w:bCs/>
          <w:b/>
        </w:rPr>
        <w:t xml:space="preserve">Upstream Transport Mode:</w:t>
      </w:r>
      <w:r>
        <w:t xml:space="preserve"> </w:t>
      </w:r>
      <w:r>
        <w:rPr>
          <w:bCs/>
          <w:b/>
        </w:rPr>
        <w:t xml:space="preserve">Select Mode</w:t>
      </w:r>
    </w:p>
    <w:p>
      <w:pPr>
        <w:numPr>
          <w:ilvl w:val="0"/>
          <w:numId w:val="1002"/>
        </w:numPr>
        <w:pStyle w:val="Compact"/>
      </w:pPr>
      <w:r>
        <w:rPr>
          <w:bCs/>
          <w:b/>
        </w:rPr>
        <w:t xml:space="preserve">Upstream Transport Distance:</w:t>
      </w:r>
      <w:r>
        <w:t xml:space="preserve"> </w:t>
      </w:r>
      <w:r>
        <w:rPr>
          <w:bCs/>
          <w:b/>
        </w:rPr>
        <w:t xml:space="preserve">urkjojrdlq</w:t>
      </w:r>
    </w:p>
    <w:p>
      <w:pPr>
        <w:numPr>
          <w:ilvl w:val="0"/>
          <w:numId w:val="1002"/>
        </w:numPr>
        <w:pStyle w:val="Compact"/>
      </w:pPr>
      <w:r>
        <w:rPr>
          <w:bCs/>
          <w:b/>
        </w:rPr>
        <w:t xml:space="preserve">Last-Mile Delivery Channel:</w:t>
      </w:r>
      <w:r>
        <w:t xml:space="preserve"> </w:t>
      </w:r>
      <w:r>
        <w:rPr>
          <w:bCs/>
          <w:b/>
        </w:rPr>
        <w:t xml:space="preserve">Delivery Type</w:t>
      </w:r>
    </w:p>
    <w:p>
      <w:pPr>
        <w:numPr>
          <w:ilvl w:val="0"/>
          <w:numId w:val="1002"/>
        </w:numPr>
        <w:pStyle w:val="Compact"/>
      </w:pPr>
      <w:r>
        <w:t xml:space="preserve">Emission factors for specific transport modes are crucial for accurate calculation. For illustrative purposes, a generic emission factor for "Select Mode" road freight (heavy duty lorry, average) is assumed to be 0.15 kg CO2e/tkm, derived from industry standards such as Ecoinvent/DEFRA guidance.</w:t>
      </w:r>
    </w:p>
    <w:bookmarkEnd w:id="32"/>
    <w:bookmarkStart w:id="33" w:name="use-phase-scope-3---downstream"/>
    <w:p>
      <w:pPr>
        <w:pStyle w:val="Heading3"/>
      </w:pPr>
      <w:r>
        <w:t xml:space="preserve">3.4. Use Phase (Scope 3 - Downstream)</w:t>
      </w:r>
    </w:p>
    <w:p>
      <w:pPr>
        <w:pStyle w:val="FirstParagraph"/>
      </w:pPr>
      <w:r>
        <w:t xml:space="preserve">The use phase impact is calculated based on the product\'s durability and energy consumption:</w:t>
      </w:r>
    </w:p>
    <w:p>
      <w:pPr>
        <w:numPr>
          <w:ilvl w:val="0"/>
          <w:numId w:val="1003"/>
        </w:numPr>
        <w:pStyle w:val="Compact"/>
      </w:pPr>
      <w:r>
        <w:rPr>
          <w:bCs/>
          <w:b/>
        </w:rPr>
        <w:t xml:space="preserve">Product Lifespan:</w:t>
      </w:r>
      <w:r>
        <w:t xml:space="preserve"> </w:t>
      </w:r>
      <w:r>
        <w:rPr>
          <w:bCs/>
          <w:b/>
        </w:rPr>
        <w:t xml:space="preserve">yjjedmzjet</w:t>
      </w:r>
    </w:p>
    <w:p>
      <w:pPr>
        <w:numPr>
          <w:ilvl w:val="0"/>
          <w:numId w:val="1003"/>
        </w:numPr>
        <w:pStyle w:val="Compact"/>
      </w:pPr>
      <w:r>
        <w:rPr>
          <w:bCs/>
          <w:b/>
        </w:rPr>
        <w:t xml:space="preserve">Energy Consumption in Use: (pepissrfjl)</w:t>
      </w:r>
    </w:p>
    <w:p>
      <w:pPr>
        <w:numPr>
          <w:ilvl w:val="0"/>
          <w:numId w:val="1003"/>
        </w:numPr>
        <w:pStyle w:val="Compact"/>
      </w:pPr>
      <w:r>
        <w:t xml:space="preserve">Emission factors for electricity consumption during the use phase (considering a "Europe Focused" supply chain, assuming product is used in Europe) are sourced from industry averages. For illustrative purposes, an average European grid electricity emission factor is assumed to be 0.25 kg CO2e/kWh.</w:t>
      </w:r>
    </w:p>
    <w:bookmarkEnd w:id="33"/>
    <w:bookmarkStart w:id="34" w:name="end-of-life-eol-scope-3---downstream"/>
    <w:p>
      <w:pPr>
        <w:pStyle w:val="Heading3"/>
      </w:pPr>
      <w:r>
        <w:t xml:space="preserve">3.5. End-of-Life (EoL) (Scope 3 - Downstream)</w:t>
      </w:r>
    </w:p>
    <w:p>
      <w:pPr>
        <w:pStyle w:val="FirstParagraph"/>
      </w:pPr>
      <w:r>
        <w:t xml:space="preserve">End-of-Life scenarios incorporate circular economy impacts:</w:t>
      </w:r>
    </w:p>
    <w:p>
      <w:pPr>
        <w:numPr>
          <w:ilvl w:val="0"/>
          <w:numId w:val="1004"/>
        </w:numPr>
        <w:pStyle w:val="Compact"/>
      </w:pPr>
      <w:r>
        <w:rPr>
          <w:bCs/>
          <w:b/>
        </w:rPr>
        <w:t xml:space="preserve">Recyclability Percentage:</w:t>
      </w:r>
      <w:r>
        <w:t xml:space="preserve"> </w:t>
      </w:r>
      <w:r>
        <w:rPr>
          <w:bCs/>
          <w:b/>
        </w:rPr>
        <w:t xml:space="preserve">ghxqlvwlhe</w:t>
      </w:r>
    </w:p>
    <w:p>
      <w:pPr>
        <w:numPr>
          <w:ilvl w:val="0"/>
          <w:numId w:val="1004"/>
        </w:numPr>
        <w:pStyle w:val="Compact"/>
      </w:pPr>
      <w:r>
        <w:rPr>
          <w:bCs/>
          <w:b/>
        </w:rPr>
        <w:t xml:space="preserve">Circular/Take-back Programs:</w:t>
      </w:r>
      <w:r>
        <w:t xml:space="preserve"> </w:t>
      </w:r>
      <w:r>
        <w:rPr>
          <w:bCs/>
          <w:b/>
        </w:rPr>
        <w:t xml:space="preserve">onmhfvfmwm</w:t>
      </w:r>
    </w:p>
    <w:p>
      <w:pPr>
        <w:numPr>
          <w:ilvl w:val="0"/>
          <w:numId w:val="1004"/>
        </w:numPr>
        <w:pStyle w:val="Compact"/>
      </w:pPr>
      <w:r>
        <w:t xml:space="preserve">Emissions from disposal to landfill and avoided emissions from recycling are considered. For illustrative purposes, an average emission factor for waste to landfill is 0.5 kg CO2e/kg. While the GHG Protocol recommends reporting avoided emissions separately from the main inventory, they are included here as a credit to reflect the circular economy impacts as requested. For illustrative purposes, an average avoided emission factor for recycling is assumed to be -1.0 kg CO2e/kg (material dependent).</w:t>
      </w:r>
    </w:p>
    <w:p>
      <w:pPr>
        <w:pStyle w:val="FirstParagraph"/>
      </w:pPr>
      <w:r>
        <w:rPr>
          <w:iCs/>
          <w:i/>
        </w:rPr>
        <w:t xml:space="preserve">Note: For calculations in the subsequent section, specific numerical values are assumed for the placeholder parameters (e.g., \'urkjojrdlq\' = "500 km", \'hzvetlsyiq\' = "70%", \'kkhowihjxq\' = "12.5 kWh/unit", \'yjjedmzjet\' = "5 years", \'pepissrfjl\' = "50 kWh/year", \'ghxqlvwlhe\' = "85%", \'onmhfvfmwm\' = "Active program with 20% return rate"). These assumptions are made to demonstrate the calculation methodology as per the prompt\'s request to \'Perform a high-detail Product Carbon Footprint (PCF) analysis\', but for a live report, exact numerical inputs would be required.</w:t>
      </w:r>
    </w:p>
    <w:p>
      <w:r>
        <w:pict>
          <v:rect style="width:0;height:1.5pt" o:hralign="center" o:hrstd="t" o:hr="t"/>
        </w:pict>
      </w:r>
    </w:p>
    <w:bookmarkEnd w:id="34"/>
    <w:bookmarkEnd w:id="35"/>
    <w:bookmarkStart w:id="48" w:name="Xdd1c2ba429305467bad58a0828410d9d0fce25c"/>
    <w:p>
      <w:pPr>
        <w:pStyle w:val="Heading2"/>
      </w:pPr>
      <w:r>
        <w:t xml:space="preserve">4. Emissions Calculation (Activity * Emission Factor = CO2e)</w:t>
      </w:r>
    </w:p>
    <w:p>
      <w:pPr>
        <w:pStyle w:val="FirstParagraph"/>
      </w:pPr>
      <w:r>
        <w:t xml:space="preserve">This section details the calculation of emissions for each lifecycle stage, categorized by GHG Protocol scopes. All calculations are for a functional unit of 1.0 unit of \'erfgxgrljt\'.</w:t>
      </w:r>
    </w:p>
    <w:p>
      <w:pPr>
        <w:pStyle w:val="BodyText"/>
      </w:pPr>
      <w:r>
        <w:rPr>
          <w:bCs/>
          <w:b/>
        </w:rPr>
        <w:t xml:space="preserve">Assumed Placeholder Values for Calculation:</w:t>
      </w:r>
    </w:p>
    <w:p>
      <w:pPr>
        <w:numPr>
          <w:ilvl w:val="0"/>
          <w:numId w:val="1005"/>
        </w:numPr>
        <w:pStyle w:val="Compact"/>
      </w:pPr>
      <w:r>
        <w:t xml:space="preserve">Transport Distance (Upstream): 500 km (from `urkjojrdlq`)</w:t>
      </w:r>
    </w:p>
    <w:p>
      <w:pPr>
        <w:numPr>
          <w:ilvl w:val="0"/>
          <w:numId w:val="1005"/>
        </w:numPr>
        <w:pStyle w:val="Compact"/>
      </w:pPr>
      <w:r>
        <w:t xml:space="preserve">Renewable Energy Usage: 70% (from `hzvetlsyiq`)</w:t>
      </w:r>
    </w:p>
    <w:p>
      <w:pPr>
        <w:numPr>
          <w:ilvl w:val="0"/>
          <w:numId w:val="1005"/>
        </w:numPr>
        <w:pStyle w:val="Compact"/>
      </w:pPr>
      <w:r>
        <w:t xml:space="preserve">Energy Intensity (Production): 12.5 kWh/unit (from `kkhowihjxq`)</w:t>
      </w:r>
    </w:p>
    <w:p>
      <w:pPr>
        <w:numPr>
          <w:ilvl w:val="0"/>
          <w:numId w:val="1005"/>
        </w:numPr>
        <w:pStyle w:val="Compact"/>
      </w:pPr>
      <w:r>
        <w:t xml:space="preserve">Product Lifespan: 5 years (from `yjjedmzjet`)</w:t>
      </w:r>
    </w:p>
    <w:p>
      <w:pPr>
        <w:numPr>
          <w:ilvl w:val="0"/>
          <w:numId w:val="1005"/>
        </w:numPr>
        <w:pStyle w:val="Compact"/>
      </w:pPr>
      <w:r>
        <w:t xml:space="preserve">Energy Consumption in Use: 50 kWh/year (from `pepissrfjl`)</w:t>
      </w:r>
    </w:p>
    <w:p>
      <w:pPr>
        <w:numPr>
          <w:ilvl w:val="0"/>
          <w:numId w:val="1005"/>
        </w:numPr>
        <w:pStyle w:val="Compact"/>
      </w:pPr>
      <w:r>
        <w:t xml:space="preserve">Recyclability Percentage: 85% (from `ghxqlvwlhe`)</w:t>
      </w:r>
    </w:p>
    <w:p>
      <w:pPr>
        <w:numPr>
          <w:ilvl w:val="0"/>
          <w:numId w:val="1005"/>
        </w:numPr>
        <w:pStyle w:val="Compact"/>
      </w:pPr>
      <w:r>
        <w:t xml:space="preserve">Circular/Take-back Programs: 20% return rate (from `onmhfvfmwm`)</w:t>
      </w:r>
    </w:p>
    <w:p>
      <w:pPr>
        <w:numPr>
          <w:ilvl w:val="0"/>
          <w:numId w:val="1005"/>
        </w:numPr>
        <w:pStyle w:val="Compact"/>
      </w:pPr>
      <w:r>
        <w:t xml:space="preserve">Generic Grid Electricity Emission Factor (China): 0.6 kg CO2e/kWh</w:t>
      </w:r>
    </w:p>
    <w:p>
      <w:pPr>
        <w:numPr>
          <w:ilvl w:val="0"/>
          <w:numId w:val="1005"/>
        </w:numPr>
        <w:pStyle w:val="Compact"/>
      </w:pPr>
      <w:r>
        <w:t xml:space="preserve">Generic Grid Electricity Emission Factor (Europe): 0.25 kg CO2e/kWh</w:t>
      </w:r>
    </w:p>
    <w:p>
      <w:pPr>
        <w:numPr>
          <w:ilvl w:val="0"/>
          <w:numId w:val="1005"/>
        </w:numPr>
        <w:pStyle w:val="Compact"/>
      </w:pPr>
      <w:r>
        <w:t xml:space="preserve">Generic Road Freight Emission Factor: 0.15 kg CO2e/tkm</w:t>
      </w:r>
    </w:p>
    <w:p>
      <w:pPr>
        <w:numPr>
          <w:ilvl w:val="0"/>
          <w:numId w:val="1005"/>
        </w:numPr>
        <w:pStyle w:val="Compact"/>
      </w:pPr>
      <w:r>
        <w:t xml:space="preserve">Generic Landfill Emission Factor: 0.5 kg CO2e/kg</w:t>
      </w:r>
    </w:p>
    <w:p>
      <w:pPr>
        <w:numPr>
          <w:ilvl w:val="0"/>
          <w:numId w:val="1005"/>
        </w:numPr>
        <w:pStyle w:val="Compact"/>
      </w:pPr>
      <w:r>
        <w:t xml:space="preserve">Generic Recycling Avoided Emission Factor: -1.0 kg CO2e/kg</w:t>
      </w:r>
    </w:p>
    <w:bookmarkStart w:id="38" w:name="scope-3-upstream-emissions"/>
    <w:p>
      <w:pPr>
        <w:pStyle w:val="Heading3"/>
      </w:pPr>
      <w:r>
        <w:t xml:space="preserve">4.1. Scope 3: Upstream Emissions</w:t>
      </w:r>
    </w:p>
    <w:bookmarkStart w:id="36" w:name="X3c645351bee5bdbc7857efab493a2db140f34ca"/>
    <w:p>
      <w:pPr>
        <w:pStyle w:val="Heading4"/>
      </w:pPr>
      <w:r>
        <w:t xml:space="preserve">4.1.1. Materials Acquisition &amp; Pre-processing (Cradle-to-Gate of Material)</w:t>
      </w:r>
    </w:p>
    <w:p>
      <w:pPr>
        <w:pStyle w:val="FirstParagraph"/>
      </w:pPr>
      <w:r>
        <w:t xml:space="preserve">Based on the provided BOM `lrhsvlxw`:</w:t>
      </w:r>
    </w:p>
    <w:p>
      <w:pPr>
        <w:numPr>
          <w:ilvl w:val="0"/>
          <w:numId w:val="1006"/>
        </w:numPr>
        <w:pStyle w:val="Compact"/>
      </w:pPr>
      <w:r>
        <w:t xml:space="preserve">Aluminum Alloy: 37.5 kg CO2e</w:t>
      </w:r>
    </w:p>
    <w:p>
      <w:pPr>
        <w:numPr>
          <w:ilvl w:val="0"/>
          <w:numId w:val="1006"/>
        </w:numPr>
        <w:pStyle w:val="Compact"/>
      </w:pPr>
      <w:r>
        <w:t xml:space="preserve">ABS Plastic: 12.6 kg CO2e</w:t>
      </w:r>
    </w:p>
    <w:p>
      <w:pPr>
        <w:numPr>
          <w:ilvl w:val="0"/>
          <w:numId w:val="1006"/>
        </w:numPr>
        <w:pStyle w:val="Compact"/>
      </w:pPr>
      <w:r>
        <w:t xml:space="preserve">Copper Wire: 6.4 kg CO2e</w:t>
      </w:r>
    </w:p>
    <w:p>
      <w:pPr>
        <w:numPr>
          <w:ilvl w:val="0"/>
          <w:numId w:val="1006"/>
        </w:numPr>
        <w:pStyle w:val="Compact"/>
      </w:pPr>
      <w:r>
        <w:t xml:space="preserve">Packaging Cardboard: 1.2 kg CO2e</w:t>
      </w:r>
    </w:p>
    <w:p>
      <w:pPr>
        <w:pStyle w:val="FirstParagraph"/>
      </w:pPr>
      <w:r>
        <w:rPr>
          <w:bCs/>
          <w:b/>
        </w:rPr>
        <w:t xml:space="preserve">Total Material Emissions: 57.70 kg CO2e</w:t>
      </w:r>
    </w:p>
    <w:bookmarkEnd w:id="36"/>
    <w:bookmarkStart w:id="37" w:name="X86c0f34a75b294f5538715cb6d8081b06081652"/>
    <w:p>
      <w:pPr>
        <w:pStyle w:val="Heading4"/>
      </w:pPr>
      <w:r>
        <w:t xml:space="preserve">4.1.2. Upstream Transportation (Materials to Factory)</w:t>
      </w:r>
    </w:p>
    <w:p>
      <w:pPr>
        <w:pStyle w:val="FirstParagraph"/>
      </w:pPr>
      <w:r>
        <w:t xml:space="preserve">Total Material Weight (sum of Qty from BOM): 25.00 kg</w:t>
      </w:r>
    </w:p>
    <w:p>
      <w:pPr>
        <w:pStyle w:val="BodyText"/>
      </w:pPr>
      <w:r>
        <w:t xml:space="preserve">Upstream Transport Distance: 500 km (based on `urkjojrdlq` parameter)</w:t>
      </w:r>
    </w:p>
    <w:p>
      <w:pPr>
        <w:pStyle w:val="BodyText"/>
      </w:pPr>
      <w:r>
        <w:t xml:space="preserve">Upstream Transport Emission Factor (Select Mode - Road Freight): 0.15 kg CO2e/tkm</w:t>
      </w:r>
    </w:p>
    <w:p>
      <w:pPr>
        <w:pStyle w:val="BodyText"/>
      </w:pPr>
      <w:r>
        <w:t xml:space="preserve">Calculation: (25.00 kg / 1000) * 500 km * 0.15 kg CO2e/tkm = 1.875 kg CO2e</w:t>
      </w:r>
    </w:p>
    <w:p>
      <w:pPr>
        <w:pStyle w:val="BodyText"/>
      </w:pPr>
      <w:r>
        <w:rPr>
          <w:bCs/>
          <w:b/>
        </w:rPr>
        <w:t xml:space="preserve">Total Upstream Transport Emissions: 1.88 kg CO2e</w:t>
      </w:r>
    </w:p>
    <w:bookmarkEnd w:id="37"/>
    <w:bookmarkEnd w:id="38"/>
    <w:bookmarkStart w:id="41" w:name="X8030d8f222255864dc5756b5dedfb10cc8f5297"/>
    <w:p>
      <w:pPr>
        <w:pStyle w:val="Heading3"/>
      </w:pPr>
      <w:r>
        <w:t xml:space="preserve">4.2. Scope 1 &amp; 2: Manufacturing Emissions (Factory Gate)</w:t>
      </w:r>
    </w:p>
    <w:bookmarkStart w:id="39" w:name="scope-2-purchased-electricity"/>
    <w:p>
      <w:pPr>
        <w:pStyle w:val="Heading4"/>
      </w:pPr>
      <w:r>
        <w:t xml:space="preserve">4.2.1. Scope 2: Purchased Electricity</w:t>
      </w:r>
    </w:p>
    <w:p>
      <w:pPr>
        <w:pStyle w:val="FirstParagraph"/>
      </w:pPr>
      <w:r>
        <w:t xml:space="preserve">Energy Intensity: 12.5 kWh/unit (based on `kkhowihjxq` parameter)</w:t>
      </w:r>
    </w:p>
    <w:p>
      <w:pPr>
        <w:pStyle w:val="BodyText"/>
      </w:pPr>
      <w:r>
        <w:t xml:space="preserve">Renewable Energy Usage: 70% (based on `hzvetlsyiq` parameter)</w:t>
      </w:r>
    </w:p>
    <w:p>
      <w:pPr>
        <w:pStyle w:val="BodyText"/>
      </w:pPr>
      <w:r>
        <w:t xml:space="preserve">Non-renewable Electricity Consumption: 12.5 kWh/unit * (1 - 0.70) = 3.75 kWh/unit</w:t>
      </w:r>
    </w:p>
    <w:p>
      <w:pPr>
        <w:pStyle w:val="BodyText"/>
      </w:pPr>
      <w:r>
        <w:t xml:space="preserve">Grid Electricity Emission Factor (China): 0.6 kg CO2e/kWh</w:t>
      </w:r>
    </w:p>
    <w:p>
      <w:pPr>
        <w:pStyle w:val="BodyText"/>
      </w:pPr>
      <w:r>
        <w:t xml:space="preserve">Calculation: 3.75 kWh/unit * 0.6 kg CO2e/kWh = 2.25 kg CO2e</w:t>
      </w:r>
    </w:p>
    <w:p>
      <w:pPr>
        <w:pStyle w:val="BodyText"/>
      </w:pPr>
      <w:r>
        <w:rPr>
          <w:bCs/>
          <w:b/>
        </w:rPr>
        <w:t xml:space="preserve">Total Manufacturing Electricity (Scope 2) Emissions: 2.25 kg CO2e</w:t>
      </w:r>
    </w:p>
    <w:bookmarkEnd w:id="39"/>
    <w:bookmarkStart w:id="40" w:name="scope-1-direct-emissions"/>
    <w:p>
      <w:pPr>
        <w:pStyle w:val="Heading4"/>
      </w:pPr>
      <w:r>
        <w:t xml:space="preserve">4.2.2. Scope 1: Direct Emissions</w:t>
      </w:r>
    </w:p>
    <w:p>
      <w:pPr>
        <w:pStyle w:val="FirstParagraph"/>
      </w:pPr>
      <w:r>
        <w:t xml:space="preserve">Direct emissions (e.g., from burning fuel on-site) are assumed to be negligible or not explicitly provided within the given parameters for \'pemtispwssp\'s manufacturing process for \'erfgxgrljt\'. Therefore, Scope 1 emissions are considered 0 kg CO2e for this report based on available data. Should specific direct fuel consumption data become available, this section would be updated.</w:t>
      </w:r>
    </w:p>
    <w:p>
      <w:pPr>
        <w:pStyle w:val="BodyText"/>
      </w:pPr>
      <w:r>
        <w:rPr>
          <w:bCs/>
          <w:b/>
        </w:rPr>
        <w:t xml:space="preserve">Total Manufacturing (Scope 1 &amp; 2) Emissions: 2.25 kg CO2e</w:t>
      </w:r>
    </w:p>
    <w:bookmarkEnd w:id="40"/>
    <w:bookmarkEnd w:id="41"/>
    <w:bookmarkStart w:id="45" w:name="scope-3-downstream-emissions"/>
    <w:p>
      <w:pPr>
        <w:pStyle w:val="Heading3"/>
      </w:pPr>
      <w:r>
        <w:t xml:space="preserve">4.3. Scope 3: Downstream Emissions</w:t>
      </w:r>
    </w:p>
    <w:bookmarkStart w:id="42" w:name="X2577d9727e7695e187d1e0220bf6dd27e0cd7da"/>
    <w:p>
      <w:pPr>
        <w:pStyle w:val="Heading4"/>
      </w:pPr>
      <w:r>
        <w:t xml:space="preserve">4.3.1. Downstream Transportation (Last-Mile Delivery)</w:t>
      </w:r>
    </w:p>
    <w:p>
      <w:pPr>
        <w:pStyle w:val="FirstParagraph"/>
      </w:pPr>
      <w:r>
        <w:t xml:space="preserve">Product Weight (assumed from total material weight): 25.00 kg</w:t>
      </w:r>
    </w:p>
    <w:p>
      <w:pPr>
        <w:pStyle w:val="BodyText"/>
      </w:pPr>
      <w:r>
        <w:t xml:space="preserve">Last-Mile Delivery Channel: Delivery Type (assumed 50 km for calculation)</w:t>
      </w:r>
    </w:p>
    <w:p>
      <w:pPr>
        <w:pStyle w:val="BodyText"/>
      </w:pPr>
      <w:r>
        <w:t xml:space="preserve">Last-Mile Delivery Emission Factor: 0.15 kg CO2e/tkm (Illustrative, could be adjusted for specific vehicle types)</w:t>
      </w:r>
    </w:p>
    <w:p>
      <w:pPr>
        <w:pStyle w:val="BodyText"/>
      </w:pPr>
      <w:r>
        <w:t xml:space="preserve">Calculation: (25.00 kg / 1000) * 50 km * 0.15 kg CO2e/tkm = 0.1875 kg CO2e</w:t>
      </w:r>
    </w:p>
    <w:p>
      <w:pPr>
        <w:pStyle w:val="BodyText"/>
      </w:pPr>
      <w:r>
        <w:rPr>
          <w:bCs/>
          <w:b/>
        </w:rPr>
        <w:t xml:space="preserve">Total Last-Mile Delivery Emissions: 0.19 kg CO2e</w:t>
      </w:r>
    </w:p>
    <w:bookmarkEnd w:id="42"/>
    <w:bookmarkStart w:id="43" w:name="use-phase"/>
    <w:p>
      <w:pPr>
        <w:pStyle w:val="Heading4"/>
      </w:pPr>
      <w:r>
        <w:t xml:space="preserve">4.3.2. Use Phase</w:t>
      </w:r>
    </w:p>
    <w:p>
      <w:pPr>
        <w:pStyle w:val="FirstParagraph"/>
      </w:pPr>
      <w:r>
        <w:t xml:space="preserve">Product Lifespan: 5 years (based on `yjjedmzjet` parameter)</w:t>
      </w:r>
    </w:p>
    <w:p>
      <w:pPr>
        <w:pStyle w:val="BodyText"/>
      </w:pPr>
      <w:r>
        <w:t xml:space="preserve">Energy Consumption in Use: 50 kWh/year (based on `pepissrfjl` parameter)</w:t>
      </w:r>
    </w:p>
    <w:p>
      <w:pPr>
        <w:pStyle w:val="BodyText"/>
      </w:pPr>
      <w:r>
        <w:t xml:space="preserve">Total Energy Consumption over Lifespan: 50 kWh/year * 5 years = 250 kWh</w:t>
      </w:r>
    </w:p>
    <w:p>
      <w:pPr>
        <w:pStyle w:val="BodyText"/>
      </w:pPr>
      <w:r>
        <w:t xml:space="preserve">Grid Electricity Emission Factor (Europe Focused): 0.25 kg CO2e/kWh</w:t>
      </w:r>
    </w:p>
    <w:p>
      <w:pPr>
        <w:pStyle w:val="BodyText"/>
      </w:pPr>
      <w:r>
        <w:t xml:space="preserve">Calculation: 250 kWh * 0.25 kg CO2e/kWh = 62.50 kg CO2e</w:t>
      </w:r>
    </w:p>
    <w:p>
      <w:pPr>
        <w:pStyle w:val="BodyText"/>
      </w:pPr>
      <w:r>
        <w:rPr>
          <w:bCs/>
          <w:b/>
        </w:rPr>
        <w:t xml:space="preserve">Total Use Phase Emissions: 62.50 kg CO2e</w:t>
      </w:r>
    </w:p>
    <w:bookmarkEnd w:id="43"/>
    <w:bookmarkStart w:id="44" w:name="end-of-life-eol"/>
    <w:p>
      <w:pPr>
        <w:pStyle w:val="Heading4"/>
      </w:pPr>
      <w:r>
        <w:t xml:space="preserve">4.3.3. End-of-Life (EoL)</w:t>
      </w:r>
    </w:p>
    <w:p>
      <w:pPr>
        <w:pStyle w:val="FirstParagraph"/>
      </w:pPr>
      <w:r>
        <w:t xml:space="preserve">Product Mass at EoL (assumed from total material weight): 25.00 kg</w:t>
      </w:r>
    </w:p>
    <w:p>
      <w:pPr>
        <w:pStyle w:val="BodyText"/>
      </w:pPr>
      <w:r>
        <w:t xml:space="preserve">Recyclability Percentage: 85% (based on `ghxqlvwlhe` parameter)</w:t>
      </w:r>
    </w:p>
    <w:p>
      <w:pPr>
        <w:pStyle w:val="BodyText"/>
      </w:pPr>
      <w:r>
        <w:t xml:space="preserve">Mass Recycled: 25.00 kg * 0.85 = 21.25 kg</w:t>
      </w:r>
    </w:p>
    <w:p>
      <w:pPr>
        <w:pStyle w:val="BodyText"/>
      </w:pPr>
      <w:r>
        <w:t xml:space="preserve">Mass to Landfill: 25.00 kg * (1 - 0.85) = 3.75 kg</w:t>
      </w:r>
    </w:p>
    <w:p>
      <w:pPr>
        <w:pStyle w:val="BodyText"/>
      </w:pPr>
      <w:r>
        <w:t xml:space="preserve">Circular/Take-back Programs: 20% return rate (based on `onmhfvfmwm` parameter) - This rate can enhance actual recycling or reuse. The direct EoL calculation here is based on the specified recyclability percentage.</w:t>
      </w:r>
    </w:p>
    <w:p>
      <w:pPr>
        <w:pStyle w:val="BodyText"/>
      </w:pPr>
      <w:r>
        <w:t xml:space="preserve">Landfill Emission Factor: 0.5 kg CO2e/kg</w:t>
      </w:r>
    </w:p>
    <w:p>
      <w:pPr>
        <w:pStyle w:val="BodyText"/>
      </w:pPr>
      <w:r>
        <w:t xml:space="preserve">Recycling Avoided Emission Factor (Credit): -1.0 kg CO2e/kg</w:t>
      </w:r>
    </w:p>
    <w:p>
      <w:pPr>
        <w:pStyle w:val="BodyText"/>
      </w:pPr>
      <w:r>
        <w:t xml:space="preserve">Emissions from Landfill: 3.75 kg * 0.5 kg CO2e/kg = 1.88 kg CO2e</w:t>
      </w:r>
    </w:p>
    <w:p>
      <w:pPr>
        <w:pStyle w:val="BodyText"/>
      </w:pPr>
      <w:r>
        <w:t xml:space="preserve">Avoided Emissions from Recycling: 21.25 kg * (-1.0) kg CO2e/kg = -21.25 kg CO2e</w:t>
      </w:r>
    </w:p>
    <w:p>
      <w:pPr>
        <w:pStyle w:val="BodyText"/>
      </w:pPr>
      <w:r>
        <w:t xml:space="preserve">Calculation: 1.88 kg CO2e + (-21.25 kg CO2e) = -19.37 kg CO2e</w:t>
      </w:r>
    </w:p>
    <w:p>
      <w:pPr>
        <w:pStyle w:val="BodyText"/>
      </w:pPr>
      <w:r>
        <w:rPr>
          <w:bCs/>
          <w:b/>
        </w:rPr>
        <w:t xml:space="preserve">Total End-of-Life Emissions: -19.37 kg CO2e</w:t>
      </w:r>
      <w:r>
        <w:t xml:space="preserve"> </w:t>
      </w:r>
      <w:r>
        <w:t xml:space="preserve">(A negative value indicates a net carbon avoidance/removal at EoL due to recycling credits exceeding disposal emissions, reported separately as per GHG Protocol guidance but included here to reflect circular economy impacts as requested).</w:t>
      </w:r>
    </w:p>
    <w:bookmarkEnd w:id="44"/>
    <w:bookmarkEnd w:id="45"/>
    <w:bookmarkStart w:id="46" w:name="total-product-carbon-footprint"/>
    <w:p>
      <w:pPr>
        <w:pStyle w:val="Heading3"/>
      </w:pPr>
      <w:r>
        <w:t xml:space="preserve">4.4. Total Product Carbon Footprint</w:t>
      </w:r>
    </w:p>
    <w:p>
      <w:pPr>
        <w:pStyle w:val="FirstParagraph"/>
      </w:pPr>
      <w:r>
        <w:rPr>
          <w:bCs/>
          <w:b/>
        </w:rPr>
        <w:t xml:space="preserve">Summary of Emissions by Stage:</w:t>
      </w:r>
    </w:p>
    <w:p>
      <w:pPr>
        <w:numPr>
          <w:ilvl w:val="0"/>
          <w:numId w:val="1007"/>
        </w:numPr>
        <w:pStyle w:val="Compact"/>
      </w:pPr>
      <w:r>
        <w:t xml:space="preserve">Materials Acquisition &amp; Pre-processing (Scope 3 Upstream): 57.70 kg CO2e</w:t>
      </w:r>
    </w:p>
    <w:p>
      <w:pPr>
        <w:numPr>
          <w:ilvl w:val="0"/>
          <w:numId w:val="1007"/>
        </w:numPr>
        <w:pStyle w:val="Compact"/>
      </w:pPr>
      <w:r>
        <w:t xml:space="preserve">Upstream Transportation (Scope 3 Upstream): 1.88 kg CO2e</w:t>
      </w:r>
    </w:p>
    <w:p>
      <w:pPr>
        <w:numPr>
          <w:ilvl w:val="0"/>
          <w:numId w:val="1007"/>
        </w:numPr>
        <w:pStyle w:val="Compact"/>
      </w:pPr>
      <w:r>
        <w:t xml:space="preserve">Manufacturing (Scope 1 &amp; 2): 2.25 kg CO2e</w:t>
      </w:r>
    </w:p>
    <w:p>
      <w:pPr>
        <w:numPr>
          <w:ilvl w:val="0"/>
          <w:numId w:val="1007"/>
        </w:numPr>
        <w:pStyle w:val="Compact"/>
      </w:pPr>
      <w:r>
        <w:t xml:space="preserve">Downstream Transportation (Scope 3 Downstream): 0.19 kg CO2e</w:t>
      </w:r>
    </w:p>
    <w:p>
      <w:pPr>
        <w:numPr>
          <w:ilvl w:val="0"/>
          <w:numId w:val="1007"/>
        </w:numPr>
        <w:pStyle w:val="Compact"/>
      </w:pPr>
      <w:r>
        <w:t xml:space="preserve">Use Phase (Scope 3 Downstream): 62.50 kg CO2e</w:t>
      </w:r>
    </w:p>
    <w:p>
      <w:pPr>
        <w:numPr>
          <w:ilvl w:val="0"/>
          <w:numId w:val="1007"/>
        </w:numPr>
        <w:pStyle w:val="Compact"/>
      </w:pPr>
      <w:r>
        <w:t xml:space="preserve">End-of-Life (Scope 3 Downstream): -19.37 kg CO2e</w:t>
      </w:r>
    </w:p>
    <w:bookmarkEnd w:id="46"/>
    <w:bookmarkStart w:id="47" w:name="X211929dba1d3abd898252359d4b6487864639a6"/>
    <w:p>
      <w:pPr>
        <w:pStyle w:val="Heading3"/>
      </w:pPr>
      <w:r>
        <w:rPr>
          <w:bCs/>
          <w:b/>
        </w:rPr>
        <w:t xml:space="preserve">Overall Product Carbon Footprint (PCF) for 1.0 unit of erfgxgrljt: 105.14 kg CO2e</w:t>
      </w:r>
    </w:p>
    <w:p>
      <w:r>
        <w:pict>
          <v:rect style="width:0;height:1.5pt" o:hralign="center" o:hrstd="t" o:hr="t"/>
        </w:pict>
      </w:r>
    </w:p>
    <w:bookmarkEnd w:id="47"/>
    <w:bookmarkEnd w:id="48"/>
    <w:bookmarkStart w:id="52" w:name="review-report---hotspots-and-reliability"/>
    <w:p>
      <w:pPr>
        <w:pStyle w:val="Heading2"/>
      </w:pPr>
      <w:r>
        <w:t xml:space="preserve">5. Review &amp; Report - Hotspots and Reliability</w:t>
      </w:r>
    </w:p>
    <w:bookmarkStart w:id="49" w:name="emission-hotspots"/>
    <w:p>
      <w:pPr>
        <w:pStyle w:val="Heading3"/>
      </w:pPr>
      <w:r>
        <w:t xml:space="preserve">5.1. Emission Hotspots</w:t>
      </w:r>
    </w:p>
    <w:p>
      <w:pPr>
        <w:pStyle w:val="FirstParagraph"/>
      </w:pPr>
      <w:r>
        <w:t xml:space="preserve">Based on the calculations, the primary emission hotspots for \'erfgxgrljt\' are:</w:t>
      </w:r>
    </w:p>
    <w:p>
      <w:pPr>
        <w:numPr>
          <w:ilvl w:val="0"/>
          <w:numId w:val="1008"/>
        </w:numPr>
        <w:pStyle w:val="Compact"/>
      </w:pPr>
      <w:r>
        <w:rPr>
          <w:bCs/>
          <w:b/>
        </w:rPr>
        <w:t xml:space="preserve">Use Phase:</w:t>
      </w:r>
      <w:r>
        <w:t xml:space="preserve"> </w:t>
      </w:r>
      <w:r>
        <w:t xml:space="preserve">Contributing 62.50 kg CO2e, the energy consumption during the product\'s 5-year lifespan results in the largest individual footprint, even with a relatively clean European grid mix.</w:t>
      </w:r>
    </w:p>
    <w:p>
      <w:pPr>
        <w:numPr>
          <w:ilvl w:val="0"/>
          <w:numId w:val="1008"/>
        </w:numPr>
        <w:pStyle w:val="Compact"/>
      </w:pPr>
      <w:r>
        <w:rPr>
          <w:bCs/>
          <w:b/>
        </w:rPr>
        <w:t xml:space="preserve">Materials Acquisition &amp; Pre-processing:</w:t>
      </w:r>
      <w:r>
        <w:t xml:space="preserve"> </w:t>
      </w:r>
      <w:r>
        <w:t xml:space="preserve">This phase contributes 57.70 kg CO2e, significantly due to the embedded carbon in raw materials, particularly metals like Aluminum and Copper.</w:t>
      </w:r>
    </w:p>
    <w:p>
      <w:pPr>
        <w:numPr>
          <w:ilvl w:val="0"/>
          <w:numId w:val="1008"/>
        </w:numPr>
        <w:pStyle w:val="Compact"/>
      </w:pPr>
      <w:r>
        <w:rPr>
          <w:bCs/>
          <w:b/>
        </w:rPr>
        <w:t xml:space="preserve">Manufacturing (Purchased Electricity):</w:t>
      </w:r>
      <w:r>
        <w:t xml:space="preserve"> </w:t>
      </w:r>
      <w:r>
        <w:t xml:space="preserve">Contributing 2.25 kg CO2e, the remaining grid electricity usage in China (after accounting for renewables) still presents a notable impact.</w:t>
      </w:r>
    </w:p>
    <w:bookmarkEnd w:id="49"/>
    <w:bookmarkStart w:id="50" w:name="reliability-and-limitations"/>
    <w:p>
      <w:pPr>
        <w:pStyle w:val="Heading3"/>
      </w:pPr>
      <w:r>
        <w:t xml:space="preserve">5.2. Reliability and Limitations</w:t>
      </w:r>
    </w:p>
    <w:p>
      <w:pPr>
        <w:pStyle w:val="FirstParagraph"/>
      </w:pPr>
      <w:r>
        <w:t xml:space="preserve">The reliability of this PCF analysis is contingent upon the accuracy and granularity of the provided input parameters and the generic emission factors used for illustrative purposes. Key points affecting reliability include:</w:t>
      </w:r>
    </w:p>
    <w:p>
      <w:pPr>
        <w:numPr>
          <w:ilvl w:val="0"/>
          <w:numId w:val="1009"/>
        </w:numPr>
        <w:pStyle w:val="Compact"/>
      </w:pPr>
      <w:r>
        <w:rPr>
          <w:bCs/>
          <w:b/>
        </w:rPr>
        <w:t xml:space="preserve">Placeholder Parameters:</w:t>
      </w:r>
      <w:r>
        <w:t xml:space="preserve"> </w:t>
      </w:r>
      <w:r>
        <w:t xml:space="preserve">Many parameters (e.g., `Transport Mode`, `Transport Distance`, `Energy Consumption in Use`) were provided as generic strings. For a precise PCF, these require specific numerical data. Assumed numerical values were used to demonstrate calculations, which introduce a degree of uncertainty.</w:t>
      </w:r>
    </w:p>
    <w:p>
      <w:pPr>
        <w:numPr>
          <w:ilvl w:val="0"/>
          <w:numId w:val="1009"/>
        </w:numPr>
        <w:pStyle w:val="Compact"/>
      </w:pPr>
      <w:r>
        <w:rPr>
          <w:bCs/>
          <w:b/>
        </w:rPr>
        <w:t xml:space="preserve">Generic Emission Factors:</w:t>
      </w:r>
      <w:r>
        <w:t xml:space="preserve"> </w:t>
      </w:r>
      <w:r>
        <w:t xml:space="preserve">Industry-average emission factors (e.g., from GHG Protocol guidance, DEFRA, Ecoinvent databases) were used where specific ones were not provided. These provide a robust estimate but may not perfectly reflect pemtispssp\'s specific suppliers, energy mixes, or logistics operations.</w:t>
      </w:r>
    </w:p>
    <w:p>
      <w:pPr>
        <w:numPr>
          <w:ilvl w:val="0"/>
          <w:numId w:val="1009"/>
        </w:numPr>
        <w:pStyle w:val="Compact"/>
      </w:pPr>
      <w:r>
        <w:rPr>
          <w:bCs/>
          <w:b/>
        </w:rPr>
        <w:t xml:space="preserve">Scope 3 Coverage:</w:t>
      </w:r>
      <w:r>
        <w:t xml:space="preserve"> </w:t>
      </w:r>
      <w:r>
        <w:t xml:space="preserve">While targeting &gt;95% Scope 3 coverage, the specific data for certain categories (e.g., business travel, employee commuting, capital goods, waste *generated in operations*) was outside the immediate scope of provided parameters. The primary focus for Scope 3 was on upstream materials, transport, use, and EoL, which typically form the bulk of a product\'s footprint.</w:t>
      </w:r>
    </w:p>
    <w:p>
      <w:pPr>
        <w:numPr>
          <w:ilvl w:val="0"/>
          <w:numId w:val="1009"/>
        </w:numPr>
        <w:pStyle w:val="Compact"/>
      </w:pPr>
      <w:r>
        <w:rPr>
          <w:bCs/>
          <w:b/>
        </w:rPr>
        <w:t xml:space="preserve">Land Sector and Removals (LSR):</w:t>
      </w:r>
      <w:r>
        <w:t xml:space="preserve"> </w:t>
      </w:r>
      <w:r>
        <w:t xml:space="preserve">The application of the 2026 LSR Standard implies accounting for land use change and carbon removals. While the BOM details material categories, specific data on land use impact for each material was not explicitly provided, thus general industry factors are implicitly assumed within the material emission factors. Direct removals (e.g., biogenic carbon sequestration) were not identified as a primary feature of \'erfgxgrljt\' in the given parameters beyond recycling credits.</w:t>
      </w:r>
    </w:p>
    <w:p>
      <w:pPr>
        <w:numPr>
          <w:ilvl w:val="0"/>
          <w:numId w:val="1009"/>
        </w:numPr>
        <w:pStyle w:val="Compact"/>
      </w:pPr>
      <w:r>
        <w:rPr>
          <w:bCs/>
          <w:b/>
        </w:rPr>
        <w:t xml:space="preserve">Avoided Emissions at EoL:</w:t>
      </w:r>
      <w:r>
        <w:t xml:space="preserve"> </w:t>
      </w:r>
      <w:r>
        <w:t xml:space="preserve">While included to reflect circular economy impacts, the GHG Protocol generally advises reporting avoided emissions separately from core Scope 1, 2, and 3 inventories to prevent double counting.</w:t>
      </w:r>
    </w:p>
    <w:bookmarkEnd w:id="50"/>
    <w:bookmarkStart w:id="51" w:name="recommendations-for-reduction"/>
    <w:p>
      <w:pPr>
        <w:pStyle w:val="Heading3"/>
      </w:pPr>
      <w:r>
        <w:t xml:space="preserve">5.3. Recommendations for Reduction</w:t>
      </w:r>
    </w:p>
    <w:p>
      <w:pPr>
        <w:numPr>
          <w:ilvl w:val="0"/>
          <w:numId w:val="1010"/>
        </w:numPr>
        <w:pStyle w:val="Compact"/>
      </w:pPr>
      <w:r>
        <w:rPr>
          <w:bCs/>
          <w:b/>
        </w:rPr>
        <w:t xml:space="preserve">Material Optimization:</w:t>
      </w:r>
      <w:r>
        <w:t xml:space="preserve"> </w:t>
      </w:r>
      <w:r>
        <w:t xml:space="preserve">Explore alternative, lower-carbon materials or increase recycled content beyond the current recyclability rate. Engage with suppliers to understand and reduce their upstream emissions.</w:t>
      </w:r>
    </w:p>
    <w:p>
      <w:pPr>
        <w:numPr>
          <w:ilvl w:val="0"/>
          <w:numId w:val="1010"/>
        </w:numPr>
        <w:pStyle w:val="Compact"/>
      </w:pPr>
      <w:r>
        <w:rPr>
          <w:bCs/>
          <w:b/>
        </w:rPr>
        <w:t xml:space="preserve">Manufacturing Efficiency &amp; Renewables:</w:t>
      </w:r>
      <w:r>
        <w:t xml:space="preserve"> </w:t>
      </w:r>
      <w:r>
        <w:t xml:space="preserve">Further increase renewable energy sourcing at the manufacturing facility in China (beyond `hzvetlsyiq`) and implement energy efficiency measures to reduce overall energy intensity.</w:t>
      </w:r>
    </w:p>
    <w:p>
      <w:pPr>
        <w:numPr>
          <w:ilvl w:val="0"/>
          <w:numId w:val="1010"/>
        </w:numPr>
        <w:pStyle w:val="Compact"/>
      </w:pPr>
      <w:r>
        <w:rPr>
          <w:bCs/>
          <w:b/>
        </w:rPr>
        <w:t xml:space="preserve">Product Design for Longevity &amp; Efficiency:</w:t>
      </w:r>
      <w:r>
        <w:t xml:space="preserve"> </w:t>
      </w:r>
      <w:r>
        <w:t xml:space="preserve">Design \'erfgxgrljt\' for even longer lifespan and lower energy consumption during its use phase to significantly reduce its largest downstream hotspot.</w:t>
      </w:r>
    </w:p>
    <w:p>
      <w:pPr>
        <w:numPr>
          <w:ilvl w:val="0"/>
          <w:numId w:val="1010"/>
        </w:numPr>
        <w:pStyle w:val="Compact"/>
      </w:pPr>
      <w:r>
        <w:rPr>
          <w:bCs/>
          <w:b/>
        </w:rPr>
        <w:t xml:space="preserve">Circular Economy Expansion:</w:t>
      </w:r>
      <w:r>
        <w:t xml:space="preserve"> </w:t>
      </w:r>
      <w:r>
        <w:t xml:space="preserve">Strengthen take-back programs (`onmhfvfmwm`) to ensure higher return rates and facilitate refurbishment, reuse, or high-quality recycling, minimizing waste and maximizing resource value.</w:t>
      </w:r>
    </w:p>
    <w:p>
      <w:r>
        <w:pict>
          <v:rect style="width:0;height:1.5pt" o:hralign="center" o:hrstd="t" o:hr="t"/>
        </w:pict>
      </w:r>
    </w:p>
    <w:p>
      <w:pPr>
        <w:pStyle w:val="FirstParagraph"/>
      </w:pPr>
      <w:r>
        <w:t xml:space="preserve">Confidential - Internal Use Only | Senior Sustainability Consultant: qpfkuwsxvp</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erfgxgrljt Product - pemtispssp</dc:title>
  <dc:creator/>
  <dc:description>Detailed Product Carbon Footprint (PCF) analysis report for erfgxgrljt product by pemtispssp, conducted by Senior Sustainability Consultant qpfkuwsxvp, adhering to GHG Protocol standards and 2026 LSR updates.</dc:description>
  <dc:language>en</dc:language>
  <cp:keywords/>
  <dcterms:created xsi:type="dcterms:W3CDTF">2026-07-15T07:41:30Z</dcterms:created>
  <dcterms:modified xsi:type="dcterms:W3CDTF">2026-07-15T07:41:30Z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