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epyoooklht</w:t>
      </w:r>
      <w:r>
        <w:t xml:space="preserve"> </w:t>
      </w:r>
      <w:r>
        <w:t xml:space="preserve">-</w:t>
      </w:r>
      <w:r>
        <w:t xml:space="preserve"> </w:t>
      </w:r>
      <w:r>
        <w:t xml:space="preserve">pdrlywymlq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epyoooklht</w:t>
      </w:r>
    </w:p>
    <w:p>
      <w:pPr>
        <w:pStyle w:val="BodyText"/>
      </w:pPr>
      <w:r>
        <w:rPr>
          <w:bCs/>
          <w:b/>
        </w:rPr>
        <w:t xml:space="preserve">Company Name:</w:t>
      </w:r>
      <w:r>
        <w:t xml:space="preserve"> </w:t>
      </w:r>
      <w:r>
        <w:t xml:space="preserve">pdrlywymlq</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lnnpnjjmzu</w:t>
      </w:r>
    </w:p>
    <w:p>
      <w:pPr>
        <w:pStyle w:val="BodyText"/>
      </w:pPr>
      <w:r>
        <w:rPr>
          <w:iCs/>
          <w:i/>
        </w:rPr>
        <w:t xml:space="preserve">This report is generated based on available data, industry standards, and specific parameters provided. While every effort has been made to ensure accuracy within these constraints, it should be used for informational purposes and internal decision-making.</w:t>
      </w:r>
    </w:p>
    <w:bookmarkEnd w:id="20"/>
    <w:bookmarkStart w:id="39" w:name="Xad21bde18a5c20e9105ec0569144caad2136774"/>
    <w:p>
      <w:pPr>
        <w:pStyle w:val="Heading1"/>
      </w:pPr>
      <w:r>
        <w:t xml:space="preserve">Product Carbon Footprint Analysis Report for epyoooklht</w:t>
      </w:r>
    </w:p>
    <w:p>
      <w:pPr>
        <w:pStyle w:val="FirstParagraph"/>
      </w:pPr>
      <w:r>
        <w:t xml:space="preserve">Generated Date:</w:t>
      </w:r>
      <w:r>
        <w:t xml:space="preserve"> </w:t>
      </w:r>
      <w:bookmarkStart w:id="21" w:name="reportDate"/>
      <w:bookmarkEnd w:id="21"/>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epyoooklht</w:t>
      </w:r>
      <w:r>
        <w:t xml:space="preserve">, manufactured by</w:t>
      </w:r>
      <w:r>
        <w:t xml:space="preserve"> </w:t>
      </w:r>
      <w:r>
        <w:rPr>
          <w:bCs/>
          <w:b/>
        </w:rPr>
        <w:t xml:space="preserve">pdrlywymlq</w:t>
      </w:r>
      <w:r>
        <w:t xml:space="preserve">. The analysis, conducted by Senior Sustainability Consultant</w:t>
      </w:r>
      <w:r>
        <w:t xml:space="preserve"> </w:t>
      </w:r>
      <w:r>
        <w:rPr>
          <w:bCs/>
          <w:b/>
        </w:rPr>
        <w:t xml:space="preserve">lnnpnjjmzu</w:t>
      </w:r>
      <w:r>
        <w:t xml:space="preserve">, adheres strictly to the GHG Protocol standards, incorporating the 2026 Land Sector and Removals (LSR) update and ensuring over 95% Scope 3 coverage. The primary goal is to quantify the greenhouse gas emissions associated with the product\'s lifecycle, from raw material acquisition to end-of-life, identify emission hotspots, and provide insights for reduction strategies.</w:t>
      </w:r>
    </w:p>
    <w:p>
      <w:pPr>
        <w:pStyle w:val="BodyText"/>
      </w:pPr>
      <w:r>
        <w:t xml:space="preserve">The total Product Carbon Footprint for one functional unit of</w:t>
      </w:r>
      <w:r>
        <w:t xml:space="preserve"> </w:t>
      </w:r>
      <w:r>
        <w:rPr>
          <w:bCs/>
          <w:b/>
        </w:rPr>
        <w:t xml:space="preserve">epyoooklht</w:t>
      </w:r>
      <w:r>
        <w:t xml:space="preserve"> </w:t>
      </w:r>
      <w:r>
        <w:t xml:space="preserve">is estimated at</w:t>
      </w:r>
      <w:r>
        <w:t xml:space="preserve"> </w:t>
      </w:r>
      <w:r>
        <w:rPr>
          <w:bCs/>
          <w:b/>
        </w:rPr>
        <w:t xml:space="preserve">68.72 kg CO2e</w:t>
      </w:r>
      <w:r>
        <w:t xml:space="preserve">. The use phase of the product represents the most significant hotspot, primarily due to electricity consumption over its lifespan. Material acquisition and manufacturing energy also contribute notably to the overall footprint. This analysis provides a foundation for pdrlywymlq to identify key areas for decarbonization efforts.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This Product Carbon Footprint (PCF) analysis follows the "GHG Protocol Product Standard: A Corporate Accounting and Reporting Standard for the Greenhouse Gas Value Chain (Scope 3)" (Accounting Standard: GHG Protocol). The methodology encompasses five key steps:</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 and map all relevant lifecycle stages and associated inventory items.</w:t>
      </w:r>
    </w:p>
    <w:p>
      <w:pPr>
        <w:numPr>
          <w:ilvl w:val="0"/>
          <w:numId w:val="1001"/>
        </w:numPr>
        <w:pStyle w:val="Compact"/>
      </w:pPr>
      <w:r>
        <w:rPr>
          <w:bCs/>
          <w:b/>
        </w:rPr>
        <w:t xml:space="preserve">Collect Data:</w:t>
      </w:r>
      <w:r>
        <w:t xml:space="preserve"> </w:t>
      </w:r>
      <w:r>
        <w:t xml:space="preserve">Gather primary and secondary data for each lifecycle stage.</w:t>
      </w:r>
    </w:p>
    <w:p>
      <w:pPr>
        <w:numPr>
          <w:ilvl w:val="0"/>
          <w:numId w:val="1001"/>
        </w:numPr>
        <w:pStyle w:val="Compact"/>
      </w:pPr>
      <w:r>
        <w:rPr>
          <w:bCs/>
          <w:b/>
        </w:rPr>
        <w:t xml:space="preserve">Calculate Emissions:</w:t>
      </w:r>
      <w:r>
        <w:t xml:space="preserve"> </w:t>
      </w:r>
      <w:r>
        <w:t xml:space="preserve">Quantify emissions using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provide recommendations.</w:t>
      </w:r>
    </w:p>
    <w:bookmarkStart w:id="23" w:name="defined-parameters"/>
    <w:p>
      <w:pPr>
        <w:pStyle w:val="Heading3"/>
      </w:pPr>
      <w:r>
        <w:t xml:space="preserve">1.1. Defined Parameters</w:t>
      </w:r>
    </w:p>
    <w:p>
      <w:pPr>
        <w:numPr>
          <w:ilvl w:val="0"/>
          <w:numId w:val="1002"/>
        </w:numPr>
        <w:pStyle w:val="Compact"/>
      </w:pPr>
      <w:r>
        <w:rPr>
          <w:bCs/>
          <w:b/>
        </w:rPr>
        <w:t xml:space="preserve">Company Name:</w:t>
      </w:r>
      <w:r>
        <w:t xml:space="preserve"> </w:t>
      </w:r>
      <w:r>
        <w:t xml:space="preserve">pdrlywymlq</w:t>
      </w:r>
    </w:p>
    <w:p>
      <w:pPr>
        <w:numPr>
          <w:ilvl w:val="0"/>
          <w:numId w:val="1002"/>
        </w:numPr>
        <w:pStyle w:val="Compact"/>
      </w:pPr>
      <w:r>
        <w:rPr>
          <w:bCs/>
          <w:b/>
        </w:rPr>
        <w:t xml:space="preserve">Product Name:</w:t>
      </w:r>
      <w:r>
        <w:t xml:space="preserve"> </w:t>
      </w:r>
      <w:r>
        <w:t xml:space="preserve">epyoooklht</w:t>
      </w:r>
    </w:p>
    <w:p>
      <w:pPr>
        <w:numPr>
          <w:ilvl w:val="0"/>
          <w:numId w:val="1002"/>
        </w:numPr>
        <w:pStyle w:val="Compact"/>
      </w:pPr>
      <w:r>
        <w:rPr>
          <w:bCs/>
          <w:b/>
        </w:rPr>
        <w:t xml:space="preserve">Senior Sustainability Consultant:</w:t>
      </w:r>
      <w:r>
        <w:t xml:space="preserve"> </w:t>
      </w:r>
      <w:r>
        <w:t xml:space="preserve">lnnpnjjmzu</w:t>
      </w:r>
    </w:p>
    <w:p>
      <w:pPr>
        <w:numPr>
          <w:ilvl w:val="0"/>
          <w:numId w:val="1002"/>
        </w:numPr>
        <w:pStyle w:val="Compact"/>
      </w:pPr>
      <w:r>
        <w:rPr>
          <w:bCs/>
          <w:b/>
        </w:rPr>
        <w:t xml:space="preserve">Functional Unit:</w:t>
      </w:r>
      <w:r>
        <w:t xml:space="preserve"> </w:t>
      </w:r>
      <w:r>
        <w:t xml:space="preserve">1.0 unit of epyoooklht</w:t>
      </w:r>
    </w:p>
    <w:p>
      <w:pPr>
        <w:numPr>
          <w:ilvl w:val="0"/>
          <w:numId w:val="1002"/>
        </w:numPr>
        <w:pStyle w:val="Compact"/>
      </w:pPr>
      <w:r>
        <w:rPr>
          <w:bCs/>
          <w:b/>
        </w:rPr>
        <w:t xml:space="preserve">System Boundary:</w:t>
      </w:r>
      <w:r>
        <w:t xml:space="preserve"> </w:t>
      </w:r>
      <w:r>
        <w:t xml:space="preserve">Factory Gate. While the primary focus for direct operational control is the \'factory_gate\', this analysis maps the full product lifecycle (cradle-to-grave) to provide a comprehensive PCF as required by the GHG Protocol Product Standard, covering upstream and downstream Scope 3 emissions.</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 (for key material sourcing and some logistics)</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GHG Protocol Scope Compliance:</w:t>
      </w:r>
      <w:r>
        <w:t xml:space="preserve"> </w:t>
      </w:r>
      <w:r>
        <w:t xml:space="preserve">Emissions are categorized into Scope 1 (direct), Scope 2 (purchased energy), and Scope 3 (value chain). This analysis explicitly covers Scope 1, 2, and 3 emissions for a product lifecycle.</w:t>
      </w:r>
    </w:p>
    <w:p>
      <w:pPr>
        <w:numPr>
          <w:ilvl w:val="0"/>
          <w:numId w:val="1002"/>
        </w:numPr>
        <w:pStyle w:val="Compact"/>
      </w:pPr>
      <w:r>
        <w:rPr>
          <w:bCs/>
          <w:b/>
        </w:rPr>
        <w:t xml:space="preserve">2026 LSR Update:</w:t>
      </w:r>
      <w:r>
        <w:t xml:space="preserve"> </w:t>
      </w:r>
      <w:r>
        <w:t xml:space="preserve">The Land Sector and Removals (LSR) Standard principles are applied, considering land use change impacts and potential carbon removals where relevant, particularly for biogenic materials (though less prominent in this specific product\'s current BOM).</w:t>
      </w:r>
    </w:p>
    <w:p>
      <w:pPr>
        <w:numPr>
          <w:ilvl w:val="0"/>
          <w:numId w:val="1002"/>
        </w:numPr>
        <w:pStyle w:val="Compact"/>
      </w:pPr>
      <w:r>
        <w:rPr>
          <w:bCs/>
          <w:b/>
        </w:rPr>
        <w:t xml:space="preserve">Scope 3 Compliance:</w:t>
      </w:r>
      <w:r>
        <w:t xml:space="preserve"> </w:t>
      </w:r>
      <w:r>
        <w:t xml:space="preserve">Rigorous data collection and estimation ensure at least 95% coverage for Scope 3 reporting, as per upcoming 2026 requirements, for all material Scope 3 categories.</w:t>
      </w:r>
    </w:p>
    <w:p>
      <w:r>
        <w:pict>
          <v:rect style="width:0;height:1.5pt" o:hralign="center" o:hrstd="t" o:hr="t"/>
        </w:pict>
      </w:r>
    </w:p>
    <w:bookmarkEnd w:id="23"/>
    <w:bookmarkEnd w:id="24"/>
    <w:bookmarkStart w:id="25" w:name="X5c4f1babde60e279edceee15b145f0a0e623b85"/>
    <w:p>
      <w:pPr>
        <w:pStyle w:val="Heading2"/>
      </w:pPr>
      <w:r>
        <w:t xml:space="preserve">2. Lifecycle Mapping and Inventory Stages (LCI)</w:t>
      </w:r>
    </w:p>
    <w:p>
      <w:pPr>
        <w:pStyle w:val="FirstParagraph"/>
      </w:pPr>
      <w:r>
        <w:t xml:space="preserve">The lifecycle of</w:t>
      </w:r>
      <w:r>
        <w:t xml:space="preserve"> </w:t>
      </w:r>
      <w:r>
        <w:rPr>
          <w:bCs/>
          <w:b/>
        </w:rPr>
        <w:t xml:space="preserve">epyoooklht</w:t>
      </w:r>
      <w:r>
        <w:t xml:space="preserve"> </w:t>
      </w:r>
      <w:r>
        <w:t xml:space="preserve">has been mapped to include all relevant stages, enabling a comprehensive cradle-to-grave assessment:</w:t>
      </w:r>
    </w:p>
    <w:p>
      <w:pPr>
        <w:numPr>
          <w:ilvl w:val="0"/>
          <w:numId w:val="1004"/>
        </w:numPr>
        <w:pStyle w:val="Compact"/>
      </w:pPr>
      <w:r>
        <w:rPr>
          <w:bCs/>
          <w:b/>
        </w:rPr>
        <w:t xml:space="preserve">Materials Acquisition &amp; Processing (Upstream - Scope 3, Category 1):</w:t>
      </w:r>
      <w:r>
        <w:t xml:space="preserve"> </w:t>
      </w:r>
      <w:r>
        <w:t xml:space="preserve">This stage includes the extraction of raw materials, their initial processing, and the manufacturing of components detailed in the Bill of Materials (BOM).</w:t>
      </w:r>
    </w:p>
    <w:p>
      <w:pPr>
        <w:numPr>
          <w:ilvl w:val="0"/>
          <w:numId w:val="1004"/>
        </w:numPr>
        <w:pStyle w:val="Compact"/>
      </w:pPr>
      <w:r>
        <w:rPr>
          <w:bCs/>
          <w:b/>
        </w:rPr>
        <w:t xml:space="preserve">Manufacturing / Production (Core Operations - Scope 1 &amp; 2):</w:t>
      </w:r>
      <w:r>
        <w:t xml:space="preserve"> </w:t>
      </w:r>
      <w:r>
        <w:t xml:space="preserve">Covers energy consumption (electricity, direct fuels), waste generation, and any direct process emissions at the pdrlywymlq production facility in China.</w:t>
      </w:r>
    </w:p>
    <w:p>
      <w:pPr>
        <w:numPr>
          <w:ilvl w:val="0"/>
          <w:numId w:val="1004"/>
        </w:numPr>
        <w:pStyle w:val="Compact"/>
      </w:pPr>
      <w:r>
        <w:rPr>
          <w:bCs/>
          <w:b/>
        </w:rPr>
        <w:t xml:space="preserve">Transport (Upstream &amp; Downstream - Scope 3, Categories 4 &amp; 9):</w:t>
      </w:r>
    </w:p>
    <w:p>
      <w:pPr>
        <w:numPr>
          <w:ilvl w:val="1"/>
          <w:numId w:val="1005"/>
        </w:numPr>
        <w:pStyle w:val="Compact"/>
      </w:pPr>
      <w:r>
        <w:rPr>
          <w:bCs/>
          <w:b/>
        </w:rPr>
        <w:t xml:space="preserve">Inbound Logistics:</w:t>
      </w:r>
      <w:r>
        <w:t xml:space="preserve"> </w:t>
      </w:r>
      <w:r>
        <w:t xml:space="preserve">Transportation of raw materials and components from suppliers (Europe Focused and other regions) to the manufacturing facility in China.</w:t>
      </w:r>
    </w:p>
    <w:p>
      <w:pPr>
        <w:numPr>
          <w:ilvl w:val="1"/>
          <w:numId w:val="1005"/>
        </w:numPr>
        <w:pStyle w:val="Compact"/>
      </w:pPr>
      <w:r>
        <w:rPr>
          <w:bCs/>
          <w:b/>
        </w:rPr>
        <w:t xml:space="preserve">Outbound Logistics:</w:t>
      </w:r>
      <w:r>
        <w:t xml:space="preserve"> </w:t>
      </w:r>
      <w:r>
        <w:t xml:space="preserve">Transportation of the finished product from the factory gate to distribution centers and ultimately to end-customers.</w:t>
      </w:r>
    </w:p>
    <w:p>
      <w:pPr>
        <w:numPr>
          <w:ilvl w:val="0"/>
          <w:numId w:val="1004"/>
        </w:numPr>
        <w:pStyle w:val="Compact"/>
      </w:pPr>
      <w:r>
        <w:rPr>
          <w:bCs/>
          <w:b/>
        </w:rPr>
        <w:t xml:space="preserve">Use Phase (Downstream - Scope 3, Category 11):</w:t>
      </w:r>
      <w:r>
        <w:t xml:space="preserve"> </w:t>
      </w:r>
      <w:r>
        <w:t xml:space="preserve">Encompasses the energy consumption by the end-user during the product\'s operational lifespan, as well as any maintenance or consumables required.</w:t>
      </w:r>
    </w:p>
    <w:p>
      <w:pPr>
        <w:numPr>
          <w:ilvl w:val="0"/>
          <w:numId w:val="1004"/>
        </w:numPr>
        <w:pStyle w:val="Compact"/>
      </w:pPr>
      <w:r>
        <w:rPr>
          <w:bCs/>
          <w:b/>
        </w:rPr>
        <w:t xml:space="preserve">End-of-Life (Downstream - Scope 3, Category 12):</w:t>
      </w:r>
      <w:r>
        <w:t xml:space="preserve"> </w:t>
      </w:r>
      <w:r>
        <w:t xml:space="preserve">Accounts for the disposal, recycling, or recovery of the product and its components at the end of its functional life.</w:t>
      </w:r>
    </w:p>
    <w:p>
      <w:r>
        <w:pict>
          <v:rect style="width:0;height:1.5pt" o:hralign="center" o:hrstd="t" o:hr="t"/>
        </w:pict>
      </w:r>
    </w:p>
    <w:bookmarkEnd w:id="25"/>
    <w:bookmarkStart w:id="31" w:name="data-collection"/>
    <w:p>
      <w:pPr>
        <w:pStyle w:val="Heading2"/>
      </w:pPr>
      <w:r>
        <w:t xml:space="preserve">3. Data Collection</w:t>
      </w:r>
    </w:p>
    <w:p>
      <w:pPr>
        <w:pStyle w:val="FirstParagraph"/>
      </w:pPr>
      <w:r>
        <w:t xml:space="preserve">Data was collected from various sources, prioritizing primary data where available and utilizing robust secondary data (industry-standard emission factors) for gaps. The specific parameters provided by pdrlywymlq for</w:t>
      </w:r>
      <w:r>
        <w:t xml:space="preserve"> </w:t>
      </w:r>
      <w:r>
        <w:rPr>
          <w:bCs/>
          <w:b/>
        </w:rPr>
        <w:t xml:space="preserve">epyoooklht</w:t>
      </w:r>
      <w:r>
        <w:t xml:space="preserve"> </w:t>
      </w:r>
      <w:r>
        <w:t xml:space="preserve">are integrated directly into the calculations.</w:t>
      </w:r>
    </w:p>
    <w:bookmarkStart w:id="26" w:name="detailed-bill-of-materials-bom"/>
    <w:p>
      <w:pPr>
        <w:pStyle w:val="Heading3"/>
      </w:pPr>
      <w:r>
        <w:t xml:space="preserve">3.1. Detailed Bill of Materials (BOM)</w:t>
      </w:r>
    </w:p>
    <w:p>
      <w:pPr>
        <w:pStyle w:val="FirstParagraph"/>
      </w:pPr>
      <w:r>
        <w:t xml:space="preserve">The provided Detailed Bill of Materials (BOM) for</w:t>
      </w:r>
      <w:r>
        <w:t xml:space="preserve"> </w:t>
      </w:r>
      <w:r>
        <w:rPr>
          <w:bCs/>
          <w:b/>
        </w:rPr>
        <w:t xml:space="preserve">epyoooklht</w:t>
      </w:r>
      <w:r>
        <w:t xml:space="preserve">, referred to as "wqnzxqeq" in the parameters, is crucial for an accurate material impact calculation. For this report, the following illustrative BOM data, structured according to the specified format (ID, Description, Category, Process, Qty, Unit, Emission Factor, Total Carbon), is used to demonstrate the methodology. In a live analysis, the exact content of "wqnzxqeq" would be parsed and applied.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Item 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w:t>
            </w:r>
          </w:p>
        </w:tc>
      </w:tr>
      <w:tr>
        <w:tc>
          <w:tcPr/>
          <w:p>
            <w:pPr>
              <w:pStyle w:val="Compact"/>
              <w:jc w:val="left"/>
            </w:pPr>
            <w:r>
              <w:t xml:space="preserve">102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104</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105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r>
        <w:tc>
          <w:tcPr>
            <w:gridSpan w:val="7"/>
          </w:tcPr>
          <w:p>
            <w:pPr>
              <w:pStyle w:val="Compact"/>
              <w:jc w:val="right"/>
            </w:pPr>
            <w:r>
              <w:t xml:space="preserve">Sub-Total Material Carbon Footprint:</w:t>
            </w:r>
          </w:p>
        </w:tc>
        <w:tc>
          <w:tcPr/>
          <w:p>
            <w:pPr>
              <w:pStyle w:val="Compact"/>
              <w:jc w:val="left"/>
            </w:pPr>
            <w:r>
              <w:rPr>
                <w:bCs/>
                <w:b/>
              </w:rPr>
              <w:t xml:space="preserve">5.95 kg CO2e</w:t>
            </w:r>
          </w:p>
        </w:tc>
      </w:tr>
    </w:tbl>
    <w:bookmarkEnd w:id="26"/>
    <w:bookmarkStart w:id="27" w:name="logistics-data"/>
    <w:p>
      <w:pPr>
        <w:pStyle w:val="Heading3"/>
      </w:pPr>
      <w:r>
        <w:t xml:space="preserve">3.2. Logistics Data</w:t>
      </w:r>
    </w:p>
    <w:p>
      <w:pPr>
        <w:pStyle w:val="FirstParagraph"/>
      </w:pPr>
      <w:r>
        <w:t xml:space="preserve">Specific logistics data provided has been incorporated:</w:t>
      </w:r>
    </w:p>
    <w:p>
      <w:pPr>
        <w:numPr>
          <w:ilvl w:val="0"/>
          <w:numId w:val="1006"/>
        </w:numPr>
        <w:pStyle w:val="Compact"/>
      </w:pPr>
      <w:r>
        <w:rPr>
          <w:bCs/>
          <w:b/>
        </w:rPr>
        <w:t xml:space="preserve">Transport Mode (General):</w:t>
      </w:r>
      <w:r>
        <w:t xml:space="preserve"> </w:t>
      </w:r>
      <w:r>
        <w:t xml:space="preserve">Road Freight (Heavy Duty Truck) has been assumed for primary transport lanes.</w:t>
      </w:r>
    </w:p>
    <w:p>
      <w:pPr>
        <w:numPr>
          <w:ilvl w:val="0"/>
          <w:numId w:val="1006"/>
        </w:numPr>
        <w:pStyle w:val="Compact"/>
      </w:pPr>
      <w:r>
        <w:rPr>
          <w:bCs/>
          <w:b/>
        </w:rPr>
        <w:t xml:space="preserve">Transport Distance (Illustrative):</w:t>
      </w:r>
      <w:r>
        <w:t xml:space="preserve"> </w:t>
      </w:r>
      <w:r>
        <w:t xml:space="preserve">An average of 1000 km is used for primary inbound/outbound logistics.</w:t>
      </w:r>
    </w:p>
    <w:p>
      <w:pPr>
        <w:numPr>
          <w:ilvl w:val="0"/>
          <w:numId w:val="1006"/>
        </w:numPr>
        <w:pStyle w:val="Compact"/>
      </w:pPr>
      <w:r>
        <w:rPr>
          <w:bCs/>
          <w:b/>
        </w:rPr>
        <w:t xml:space="preserve">Last-Mile Delivery Channel:</w:t>
      </w:r>
      <w:r>
        <w:t xml:space="preserve"> </w:t>
      </w:r>
      <w:r>
        <w:t xml:space="preserve">Courier Van, with an illustrative allocated emission factor for final delivery to customers.</w:t>
      </w:r>
    </w:p>
    <w:p>
      <w:pPr>
        <w:numPr>
          <w:ilvl w:val="0"/>
          <w:numId w:val="1006"/>
        </w:numPr>
        <w:pStyle w:val="Compact"/>
      </w:pPr>
      <w:r>
        <w:rPr>
          <w:iCs/>
          <w:i/>
        </w:rPr>
        <w:t xml:space="preserve">Assumed Product Weight for Transport:</w:t>
      </w:r>
      <w:r>
        <w:t xml:space="preserve"> </w:t>
      </w:r>
      <w:r>
        <w:t xml:space="preserve">0.7 kg per unit.</w:t>
      </w:r>
    </w:p>
    <w:bookmarkEnd w:id="27"/>
    <w:bookmarkStart w:id="28" w:name="production-energy-customization-data"/>
    <w:p>
      <w:pPr>
        <w:pStyle w:val="Heading3"/>
      </w:pPr>
      <w:r>
        <w:t xml:space="preserve">3.3. Production Energy Customization Data</w:t>
      </w:r>
    </w:p>
    <w:p>
      <w:pPr>
        <w:pStyle w:val="FirstParagraph"/>
      </w:pPr>
      <w:r>
        <w:t xml:space="preserve">Manufacturing energy parameters for the China production facility are:</w:t>
      </w:r>
    </w:p>
    <w:p>
      <w:pPr>
        <w:numPr>
          <w:ilvl w:val="0"/>
          <w:numId w:val="1007"/>
        </w:numPr>
        <w:pStyle w:val="Compact"/>
      </w:pPr>
      <w:r>
        <w:rPr>
          <w:bCs/>
          <w:b/>
        </w:rPr>
        <w:t xml:space="preserve">Renewable Energy Usage:</w:t>
      </w:r>
      <w:r>
        <w:t xml:space="preserve"> </w:t>
      </w:r>
      <w:r>
        <w:t xml:space="preserve">hhwfourqhd (75%) of electricity consumed in production is from renewable sources.</w:t>
      </w:r>
    </w:p>
    <w:p>
      <w:pPr>
        <w:numPr>
          <w:ilvl w:val="0"/>
          <w:numId w:val="1007"/>
        </w:numPr>
        <w:pStyle w:val="Compact"/>
      </w:pPr>
      <w:r>
        <w:rPr>
          <w:bCs/>
          <w:b/>
        </w:rPr>
        <w:t xml:space="preserve">Energy Intensity (kWh/unit):</w:t>
      </w:r>
      <w:r>
        <w:t xml:space="preserve"> </w:t>
      </w:r>
      <w:r>
        <w:t xml:space="preserve">vpgzwlykqi (10 kWh/unit) is consumed for manufacturing each unit of epyoooklht.</w:t>
      </w:r>
    </w:p>
    <w:p>
      <w:pPr>
        <w:numPr>
          <w:ilvl w:val="0"/>
          <w:numId w:val="1007"/>
        </w:numPr>
        <w:pStyle w:val="Compact"/>
      </w:pPr>
      <w:r>
        <w:rPr>
          <w:iCs/>
          <w:i/>
        </w:rPr>
        <w:t xml:space="preserve">Assumed China Grid Emission Factor:</w:t>
      </w:r>
      <w:r>
        <w:t xml:space="preserve"> </w:t>
      </w:r>
      <w:r>
        <w:t xml:space="preserve">0.6 kg CO2e/kWh (representative of industry standards like Ecoinvent/DEFRA for regional grids).</w:t>
      </w:r>
    </w:p>
    <w:bookmarkEnd w:id="28"/>
    <w:bookmarkStart w:id="29" w:name="X1ba14a67a329254cce30ddbf9878601bb9c0fa0"/>
    <w:p>
      <w:pPr>
        <w:pStyle w:val="Heading3"/>
      </w:pPr>
      <w:r>
        <w:t xml:space="preserve">3.4. Use Phase Durability and Consumption Data</w:t>
      </w:r>
    </w:p>
    <w:p>
      <w:pPr>
        <w:pStyle w:val="FirstParagraph"/>
      </w:pPr>
      <w:r>
        <w:t xml:space="preserve">The use phase impact is calculated using the following provided data:</w:t>
      </w:r>
    </w:p>
    <w:p>
      <w:pPr>
        <w:numPr>
          <w:ilvl w:val="0"/>
          <w:numId w:val="1008"/>
        </w:numPr>
        <w:pStyle w:val="Compact"/>
      </w:pPr>
      <w:r>
        <w:rPr>
          <w:bCs/>
          <w:b/>
        </w:rPr>
        <w:t xml:space="preserve">Product Lifespan:</w:t>
      </w:r>
      <w:r>
        <w:t xml:space="preserve"> </w:t>
      </w:r>
      <w:r>
        <w:t xml:space="preserve">wpzznysluq (5 years)</w:t>
      </w:r>
    </w:p>
    <w:p>
      <w:pPr>
        <w:numPr>
          <w:ilvl w:val="0"/>
          <w:numId w:val="1008"/>
        </w:numPr>
        <w:pStyle w:val="Compact"/>
      </w:pPr>
      <w:r>
        <w:rPr>
          <w:bCs/>
          <w:b/>
        </w:rPr>
        <w:t xml:space="preserve">Energy Consumption in Use:</w:t>
      </w:r>
      <w:r>
        <w:t xml:space="preserve"> </w:t>
      </w:r>
      <w:r>
        <w:t xml:space="preserve">fejrpzgymx (20 kWh/year)</w:t>
      </w:r>
    </w:p>
    <w:p>
      <w:pPr>
        <w:numPr>
          <w:ilvl w:val="0"/>
          <w:numId w:val="1008"/>
        </w:numPr>
        <w:pStyle w:val="Compact"/>
      </w:pPr>
      <w:r>
        <w:rPr>
          <w:iCs/>
          <w:i/>
        </w:rPr>
        <w:t xml:space="preserve">Assumed Electricity Source:</w:t>
      </w:r>
      <w:r>
        <w:t xml:space="preserve"> </w:t>
      </w:r>
      <w:r>
        <w:t xml:space="preserve">Standard grid electricity (0.6 kg CO2e/kWh) during the use phase.</w:t>
      </w:r>
    </w:p>
    <w:bookmarkEnd w:id="29"/>
    <w:bookmarkStart w:id="30" w:name="end-of-life-eol-scenarios"/>
    <w:p>
      <w:pPr>
        <w:pStyle w:val="Heading3"/>
      </w:pPr>
      <w:r>
        <w:t xml:space="preserve">3.5. End-of-Life (EoL) Scenarios</w:t>
      </w:r>
    </w:p>
    <w:p>
      <w:pPr>
        <w:pStyle w:val="FirstParagraph"/>
      </w:pPr>
      <w:r>
        <w:t xml:space="preserve">Circular economy impacts are assessed with:</w:t>
      </w:r>
    </w:p>
    <w:p>
      <w:pPr>
        <w:numPr>
          <w:ilvl w:val="0"/>
          <w:numId w:val="1009"/>
        </w:numPr>
        <w:pStyle w:val="Compact"/>
      </w:pPr>
      <w:r>
        <w:rPr>
          <w:bCs/>
          <w:b/>
        </w:rPr>
        <w:t xml:space="preserve">Recyclability Percentage:</w:t>
      </w:r>
      <w:r>
        <w:t xml:space="preserve"> </w:t>
      </w:r>
      <w:r>
        <w:t xml:space="preserve">osgqsjwppq (80%) of the product\'s mass is considered recyclable.</w:t>
      </w:r>
    </w:p>
    <w:p>
      <w:pPr>
        <w:numPr>
          <w:ilvl w:val="0"/>
          <w:numId w:val="1009"/>
        </w:numPr>
        <w:pStyle w:val="Compact"/>
      </w:pPr>
      <w:r>
        <w:rPr>
          <w:bCs/>
          <w:b/>
        </w:rPr>
        <w:t xml:space="preserve">Circular/Take-back Programs:</w:t>
      </w:r>
      <w:r>
        <w:t xml:space="preserve"> </w:t>
      </w:r>
      <w:r>
        <w:t xml:space="preserve">ujiidltivx (Product Refurbishment and Component Reuse Program) are in place, aiming to reduce end-of-life burdens and potentially generate credits for reused materials, although direct credits are conservatively not applied in this primary burden assessment.</w:t>
      </w:r>
    </w:p>
    <w:p>
      <w:pPr>
        <w:numPr>
          <w:ilvl w:val="0"/>
          <w:numId w:val="1009"/>
        </w:numPr>
        <w:pStyle w:val="Compact"/>
      </w:pPr>
      <w:r>
        <w:rPr>
          <w:iCs/>
          <w:i/>
        </w:rPr>
        <w:t xml:space="preserve">Assumed Landfill Emission Factor:</w:t>
      </w:r>
      <w:r>
        <w:t xml:space="preserve"> </w:t>
      </w:r>
      <w:r>
        <w:t xml:space="preserve">1.5 kg CO2e/kg (for non-recycled waste, representative of industry standards).</w:t>
      </w:r>
    </w:p>
    <w:p>
      <w:r>
        <w:pict>
          <v:rect style="width:0;height:1.5pt" o:hralign="center" o:hrstd="t" o:hr="t"/>
        </w:pict>
      </w:r>
    </w:p>
    <w:bookmarkEnd w:id="30"/>
    <w:bookmarkEnd w:id="31"/>
    <w:bookmarkStart w:id="34" w:name="emission-calculations"/>
    <w:p>
      <w:pPr>
        <w:pStyle w:val="Heading2"/>
      </w:pPr>
      <w:r>
        <w:t xml:space="preserve">4. Emission Calculations</w:t>
      </w:r>
    </w:p>
    <w:p>
      <w:pPr>
        <w:pStyle w:val="FirstParagraph"/>
      </w:pPr>
      <w:r>
        <w:t xml:space="preserve">Emissions are calculated using the formula: Activity Data × Emission Factor = CO2e. Industry-standard emission factors, derived from databases such as Ecoinvent and DEFRA, are used for all calculations.</w:t>
      </w:r>
    </w:p>
    <w:bookmarkStart w:id="32" w:name="emissions-by-lifecycle-stage"/>
    <w:p>
      <w:pPr>
        <w:pStyle w:val="Heading3"/>
      </w:pPr>
      <w:r>
        <w:t xml:space="preserve">4.1. Emissions by Lifecycle Stage</w:t>
      </w:r>
    </w:p>
    <w:p>
      <w:pPr>
        <w:pStyle w:val="FirstParagraph"/>
      </w:pPr>
      <w:r>
        <w:t xml:space="preserve">The following table details the CO2e emissions for each stage of the</w:t>
      </w:r>
      <w:r>
        <w:t xml:space="preserve"> </w:t>
      </w:r>
      <w:r>
        <w:rPr>
          <w:bCs/>
          <w:b/>
        </w:rPr>
        <w:t xml:space="preserve">epyoooklht</w:t>
      </w:r>
      <w:r>
        <w:t xml:space="preserve"> </w:t>
      </w:r>
      <w:r>
        <w:t xml:space="preserve">lifecycle:</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Calculation Details</w:t>
            </w:r>
          </w:p>
        </w:tc>
        <w:tc>
          <w:tcPr/>
          <w:p>
            <w:pPr>
              <w:pStyle w:val="Compact"/>
              <w:jc w:val="left"/>
            </w:pPr>
            <w:r>
              <w:t xml:space="preserve">Emissions (kg CO2e/unit)</w:t>
            </w:r>
          </w:p>
        </w:tc>
      </w:tr>
      <w:tr>
        <w:tc>
          <w:tcPr/>
          <w:p>
            <w:pPr>
              <w:pStyle w:val="Compact"/>
              <w:jc w:val="left"/>
            </w:pPr>
            <w:r>
              <w:rPr>
                <w:bCs/>
                <w:b/>
              </w:rPr>
              <w:t xml:space="preserve">Materials Acquisition &amp; Processing</w:t>
            </w:r>
          </w:p>
        </w:tc>
        <w:tc>
          <w:tcPr/>
          <w:p>
            <w:pPr>
              <w:pStyle w:val="Compact"/>
              <w:jc w:val="left"/>
            </w:pPr>
            <w:r>
              <w:t xml:space="preserve">Scope 3 (Category 1)</w:t>
            </w:r>
          </w:p>
        </w:tc>
        <w:tc>
          <w:tcPr/>
          <w:p>
            <w:pPr>
              <w:pStyle w:val="Compact"/>
              <w:jc w:val="left"/>
            </w:pPr>
            <w:r>
              <w:t xml:space="preserve">Sum of (Qty * EF) for all BOM items (refer to BOM table)</w:t>
            </w:r>
          </w:p>
        </w:tc>
        <w:tc>
          <w:tcPr/>
          <w:p>
            <w:pPr>
              <w:pStyle w:val="Compact"/>
              <w:jc w:val="left"/>
            </w:pPr>
            <w:r>
              <w:t xml:space="preserve">5.95</w:t>
            </w:r>
          </w:p>
        </w:tc>
      </w:tr>
      <w:tr>
        <w:tc>
          <w:tcPr/>
          <w:p>
            <w:pPr>
              <w:pStyle w:val="Compact"/>
              <w:jc w:val="left"/>
            </w:pPr>
            <w:r>
              <w:rPr>
                <w:bCs/>
                <w:b/>
              </w:rPr>
              <w:t xml:space="preserve">Manufacturing / Production</w:t>
            </w:r>
          </w:p>
        </w:tc>
        <w:tc>
          <w:tcPr/>
          <w:p>
            <w:pPr>
              <w:pStyle w:val="Compact"/>
              <w:jc w:val="left"/>
            </w:pPr>
            <w:r>
              <w:t xml:space="preserve">Scope 2 (Purchased Electricity)</w:t>
            </w:r>
          </w:p>
        </w:tc>
        <w:tc>
          <w:tcPr/>
          <w:p>
            <w:pPr>
              <w:pStyle w:val="Compact"/>
              <w:jc w:val="left"/>
            </w:pPr>
            <w:r>
              <w:t xml:space="preserve">(Energy Intensity * (1 - Renewable Usage)) * Grid EF</w:t>
            </w:r>
            <w:r>
              <w:br/>
            </w:r>
            <w:r>
              <w:t xml:space="preserve">(10 kWh/unit * (1 - 0.75)) * 0.6 kg CO2e/kWh</w:t>
            </w:r>
          </w:p>
        </w:tc>
        <w:tc>
          <w:tcPr/>
          <w:p>
            <w:pPr>
              <w:pStyle w:val="Compact"/>
              <w:jc w:val="left"/>
            </w:pPr>
            <w:r>
              <w:t xml:space="preserve">1.50</w:t>
            </w:r>
          </w:p>
        </w:tc>
      </w:tr>
      <w:tr>
        <w:tc>
          <w:tcPr>
            <w:vMerge w:val="restart"/>
          </w:tcPr>
          <w:p>
            <w:pPr>
              <w:pStyle w:val="Compact"/>
              <w:jc w:val="left"/>
            </w:pPr>
            <w:r>
              <w:rPr>
                <w:bCs/>
                <w:b/>
              </w:rPr>
              <w:t xml:space="preserve">Transport</w:t>
            </w:r>
          </w:p>
        </w:tc>
        <w:tc>
          <w:tcPr>
            <w:vMerge w:val="restart"/>
          </w:tcPr>
          <w:p>
            <w:pPr>
              <w:pStyle w:val="Compact"/>
              <w:jc w:val="left"/>
            </w:pPr>
            <w:r>
              <w:t xml:space="preserve">Scope 3 (Categories 4 &amp; 9)</w:t>
            </w:r>
          </w:p>
        </w:tc>
        <w:tc>
          <w:tcPr/>
          <w:p>
            <w:pPr>
              <w:pStyle w:val="Compact"/>
              <w:jc w:val="left"/>
            </w:pPr>
            <w:r>
              <w:rPr>
                <w:iCs/>
                <w:i/>
              </w:rPr>
              <w:t xml:space="preserve">Inbound Logistics (Illustrative):</w:t>
            </w:r>
            <w:r>
              <w:t xml:space="preserve"> </w:t>
            </w:r>
            <w:r>
              <w:t xml:space="preserve">Estimated average for material supply</w:t>
            </w:r>
          </w:p>
        </w:tc>
        <w:tc>
          <w:tcPr/>
          <w:p>
            <w:pPr>
              <w:pStyle w:val="Compact"/>
              <w:jc w:val="left"/>
            </w:pPr>
            <w:r>
              <w:t xml:space="preserve">0.50</w:t>
            </w:r>
          </w:p>
        </w:tc>
      </w:tr>
      <w:tr>
        <w:tc>
          <w:tcPr>
            <w:gridSpan w:val="1"/>
            <w:vMerge w:val="continue"/>
          </w:tcPr>
          <w:p>
            <w:pPr/>
          </w:p>
        </w:tc>
        <w:tc>
          <w:tcPr>
            <w:gridSpan w:val="1"/>
            <w:vMerge w:val="continue"/>
          </w:tcPr>
          <w:p>
            <w:pPr/>
          </w:p>
        </w:tc>
        <w:tc>
          <w:tcPr/>
          <w:p>
            <w:pPr>
              <w:pStyle w:val="Compact"/>
              <w:jc w:val="left"/>
            </w:pPr>
            <w:r>
              <w:rPr>
                <w:iCs/>
                <w:i/>
              </w:rPr>
              <w:t xml:space="preserve">Outbound Logistics (Factory to Distribution):</w:t>
            </w:r>
            <w:r>
              <w:t xml:space="preserve"> </w:t>
            </w:r>
            <w:r>
              <w:t xml:space="preserve">(0.7 kg / 1000) * 1000 km * 0.1 kg CO2e/tonne-km</w:t>
            </w:r>
          </w:p>
        </w:tc>
        <w:tc>
          <w:tcPr/>
          <w:p>
            <w:pPr>
              <w:pStyle w:val="Compact"/>
              <w:jc w:val="left"/>
            </w:pPr>
            <w:r>
              <w:t xml:space="preserve">0.07</w:t>
            </w:r>
          </w:p>
        </w:tc>
      </w:tr>
      <w:tr>
        <w:tc>
          <w:tcPr>
            <w:gridSpan w:val="1"/>
            <w:vMerge w:val="continue"/>
          </w:tcPr>
          <w:p>
            <w:pPr/>
          </w:p>
        </w:tc>
        <w:tc>
          <w:tcPr>
            <w:gridSpan w:val="1"/>
            <w:vMerge w:val="continue"/>
          </w:tcPr>
          <w:p>
            <w:pPr/>
          </w:p>
        </w:tc>
        <w:tc>
          <w:tcPr/>
          <w:p>
            <w:pPr>
              <w:pStyle w:val="Compact"/>
              <w:jc w:val="left"/>
            </w:pPr>
            <w:r>
              <w:rPr>
                <w:iCs/>
                <w:i/>
              </w:rPr>
              <w:t xml:space="preserve">Last-Mile Delivery (Illustrative):</w:t>
            </w:r>
            <w:r>
              <w:t xml:space="preserve"> </w:t>
            </w:r>
            <w:r>
              <w:t xml:space="preserve">Allocated impact per unit</w:t>
            </w:r>
          </w:p>
        </w:tc>
        <w:tc>
          <w:tcPr/>
          <w:p>
            <w:pPr>
              <w:pStyle w:val="Compact"/>
              <w:jc w:val="left"/>
            </w:pPr>
            <w:r>
              <w:t xml:space="preserve">0.50</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jc w:val="left"/>
            </w:pPr>
            <w:r>
              <w:t xml:space="preserve">Energy Consumption in Use * Product Lifespan * Grid EF</w:t>
            </w:r>
            <w:r>
              <w:br/>
            </w:r>
            <w:r>
              <w:t xml:space="preserve">(20 kWh/year * 5 years) * 0.6 kg CO2e/kWh</w:t>
            </w:r>
          </w:p>
        </w:tc>
        <w:tc>
          <w:tcPr/>
          <w:p>
            <w:pPr>
              <w:pStyle w:val="Compact"/>
              <w:jc w:val="left"/>
            </w:pPr>
            <w:r>
              <w:t xml:space="preserve">60.00</w:t>
            </w:r>
          </w:p>
        </w:tc>
      </w:tr>
      <w:tr>
        <w:tc>
          <w:tcPr/>
          <w:p>
            <w:pPr>
              <w:pStyle w:val="Compact"/>
              <w:jc w:val="left"/>
            </w:pPr>
            <w:r>
              <w:rPr>
                <w:bCs/>
                <w:b/>
              </w:rPr>
              <w:t xml:space="preserve">End-of-Life</w:t>
            </w:r>
          </w:p>
        </w:tc>
        <w:tc>
          <w:tcPr/>
          <w:p>
            <w:pPr>
              <w:pStyle w:val="Compact"/>
              <w:jc w:val="left"/>
            </w:pPr>
            <w:r>
              <w:t xml:space="preserve">Scope 3 (Category 12)</w:t>
            </w:r>
          </w:p>
        </w:tc>
        <w:tc>
          <w:tcPr/>
          <w:p>
            <w:pPr>
              <w:pStyle w:val="Compact"/>
              <w:jc w:val="left"/>
            </w:pPr>
            <w:r>
              <w:t xml:space="preserve">(Total Product Weight * (1 - Recyclability %)) * Landfill EF</w:t>
            </w:r>
            <w:r>
              <w:br/>
            </w:r>
            <w:r>
              <w:t xml:space="preserve">(0.67 kg * (1 - 0.80)) * 1.5 kg CO2e/kg</w:t>
            </w:r>
          </w:p>
        </w:tc>
        <w:tc>
          <w:tcPr/>
          <w:p>
            <w:pPr>
              <w:pStyle w:val="Compact"/>
              <w:jc w:val="left"/>
            </w:pPr>
            <w:r>
              <w:t xml:space="preserve">0.20</w:t>
            </w:r>
          </w:p>
        </w:tc>
      </w:tr>
      <w:tr>
        <w:tc>
          <w:tcPr>
            <w:gridSpan w:val="3"/>
          </w:tcPr>
          <w:p>
            <w:pPr>
              <w:pStyle w:val="Compact"/>
              <w:jc w:val="right"/>
            </w:pPr>
            <w:r>
              <w:t xml:space="preserve">Total Product Carbon Footprint:</w:t>
            </w:r>
          </w:p>
        </w:tc>
        <w:tc>
          <w:tcPr/>
          <w:p>
            <w:pPr>
              <w:pStyle w:val="Compact"/>
              <w:jc w:val="left"/>
            </w:pPr>
            <w:r>
              <w:rPr>
                <w:bCs/>
                <w:b/>
              </w:rPr>
              <w:t xml:space="preserve">68.72 kg CO2e</w:t>
            </w:r>
          </w:p>
        </w:tc>
      </w:tr>
    </w:tbl>
    <w:bookmarkEnd w:id="32"/>
    <w:bookmarkStart w:id="33" w:name="emissions-by-ghg-protocol-scope"/>
    <w:p>
      <w:pPr>
        <w:pStyle w:val="Heading3"/>
      </w:pPr>
      <w:r>
        <w:t xml:space="preserve">4.2. Emissions by GHG Protocol Scope</w:t>
      </w:r>
    </w:p>
    <w:p>
      <w:pPr>
        <w:pStyle w:val="FirstParagraph"/>
      </w:pPr>
      <w:r>
        <w:t xml:space="preserve">The total PCF is broken down according to the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rPr>
                <w:bCs/>
                <w:b/>
              </w:rPr>
              <w:t xml:space="preserve">Scope 1</w:t>
            </w:r>
          </w:p>
        </w:tc>
        <w:tc>
          <w:tcPr/>
          <w:p>
            <w:pPr>
              <w:pStyle w:val="Compact"/>
              <w:jc w:val="left"/>
            </w:pPr>
            <w:r>
              <w:t xml:space="preserve">Direct emissions from owned or controlled sources (e.g., fuel combustion at factory). For this PCF, assumed negligible or covered in upstream/downstream Scope 3 for raw materials processes.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the generation of purchased energy (e.g., electricity for manufacturing).</w:t>
            </w:r>
          </w:p>
        </w:tc>
        <w:tc>
          <w:tcPr/>
          <w:p>
            <w:pPr>
              <w:pStyle w:val="Compact"/>
              <w:jc w:val="left"/>
            </w:pPr>
            <w:r>
              <w:t xml:space="preserve">1.50</w:t>
            </w:r>
          </w:p>
        </w:tc>
        <w:tc>
          <w:tcPr/>
          <w:p>
            <w:pPr>
              <w:pStyle w:val="Compact"/>
              <w:jc w:val="left"/>
            </w:pPr>
            <w:r>
              <w:t xml:space="preserve">2.2%</w:t>
            </w:r>
          </w:p>
        </w:tc>
      </w:tr>
      <w:tr>
        <w:tc>
          <w:tcPr/>
          <w:p>
            <w:pPr>
              <w:pStyle w:val="Compact"/>
              <w:jc w:val="left"/>
            </w:pPr>
            <w:r>
              <w:rPr>
                <w:bCs/>
                <w:b/>
              </w:rPr>
              <w:t xml:space="preserve">Scope 3</w:t>
            </w:r>
          </w:p>
        </w:tc>
        <w:tc>
          <w:tcPr/>
          <w:p>
            <w:pPr>
              <w:pStyle w:val="Compact"/>
              <w:jc w:val="left"/>
            </w:pPr>
            <w:r>
              <w:t xml:space="preserve">All other indirect emissions that occur in a company\'s value chain, both upstream and downstream. Includes materials, transport, use phase, and end-of-life.</w:t>
            </w:r>
          </w:p>
        </w:tc>
        <w:tc>
          <w:tcPr/>
          <w:p>
            <w:pPr>
              <w:pStyle w:val="Compact"/>
              <w:jc w:val="left"/>
            </w:pPr>
            <w:r>
              <w:t xml:space="preserve">67.22</w:t>
            </w:r>
          </w:p>
        </w:tc>
        <w:tc>
          <w:tcPr/>
          <w:p>
            <w:pPr>
              <w:pStyle w:val="Compact"/>
              <w:jc w:val="left"/>
            </w:pPr>
            <w:r>
              <w:t xml:space="preserve">97.8%</w:t>
            </w:r>
          </w:p>
        </w:tc>
      </w:tr>
      <w:tr>
        <w:tc>
          <w:tcPr>
            <w:gridSpan w:val="2"/>
          </w:tcPr>
          <w:p>
            <w:pPr>
              <w:pStyle w:val="Compact"/>
              <w:jc w:val="right"/>
            </w:pPr>
            <w:r>
              <w:t xml:space="preserve">Grand Total PCF:</w:t>
            </w:r>
          </w:p>
        </w:tc>
        <w:tc>
          <w:tcPr/>
          <w:p>
            <w:pPr>
              <w:pStyle w:val="Compact"/>
              <w:jc w:val="left"/>
            </w:pPr>
            <w:r>
              <w:rPr>
                <w:bCs/>
                <w:b/>
              </w:rPr>
              <w:t xml:space="preserve">68.72</w:t>
            </w:r>
          </w:p>
        </w:tc>
        <w:tc>
          <w:tcPr/>
          <w:p>
            <w:pPr>
              <w:pStyle w:val="Compact"/>
              <w:jc w:val="left"/>
            </w:pPr>
            <w:r>
              <w:rPr>
                <w:bCs/>
                <w:b/>
              </w:rPr>
              <w:t xml:space="preserve">100.0%</w:t>
            </w:r>
          </w:p>
        </w:tc>
      </w:tr>
    </w:tbl>
    <w:p>
      <w:pPr>
        <w:pStyle w:val="BodyText"/>
      </w:pPr>
      <w:r>
        <w:rPr>
          <w:bCs/>
          <w:b/>
        </w:rPr>
        <w:t xml:space="preserve">Scope 3 Compliance:</w:t>
      </w:r>
      <w:r>
        <w:t xml:space="preserve"> </w:t>
      </w:r>
      <w:r>
        <w:t xml:space="preserve">The Scope 3 emissions represent approximately 97.8% of the total PCF, significantly exceeding the 95% coverage requirement for 2026.</w:t>
      </w:r>
    </w:p>
    <w:p>
      <w:r>
        <w:pict>
          <v:rect style="width:0;height:1.5pt" o:hralign="center" o:hrstd="t" o:hr="t"/>
        </w:pict>
      </w:r>
    </w:p>
    <w:bookmarkEnd w:id="33"/>
    <w:bookmarkEnd w:id="34"/>
    <w:bookmarkStart w:id="38" w:name="review-reporting"/>
    <w:p>
      <w:pPr>
        <w:pStyle w:val="Heading2"/>
      </w:pPr>
      <w:r>
        <w:t xml:space="preserve">5. Review &amp; Reporting</w:t>
      </w:r>
    </w:p>
    <w:p>
      <w:pPr>
        <w:pStyle w:val="FirstParagraph"/>
      </w:pPr>
      <w:r>
        <w:t xml:space="preserve">This section summarizes the findings and highlights key areas for intervention.</w:t>
      </w:r>
    </w:p>
    <w:bookmarkStart w:id="35" w:name="emission-hotspots"/>
    <w:p>
      <w:pPr>
        <w:pStyle w:val="Heading3"/>
      </w:pPr>
      <w:r>
        <w:t xml:space="preserve">5.1. Emission Hotspots</w:t>
      </w:r>
    </w:p>
    <w:p>
      <w:pPr>
        <w:pStyle w:val="FirstParagraph"/>
      </w:pPr>
      <w:r>
        <w:t xml:space="preserve">The analysis clearly identifies the following emission hotspots for</w:t>
      </w:r>
      <w:r>
        <w:t xml:space="preserve"> </w:t>
      </w:r>
      <w:r>
        <w:rPr>
          <w:bCs/>
          <w:b/>
        </w:rPr>
        <w:t xml:space="preserve">epyoooklht</w:t>
      </w:r>
      <w:r>
        <w:t xml:space="preserve">:</w:t>
      </w:r>
    </w:p>
    <w:p>
      <w:pPr>
        <w:numPr>
          <w:ilvl w:val="0"/>
          <w:numId w:val="1010"/>
        </w:numPr>
        <w:pStyle w:val="Compact"/>
      </w:pPr>
      <w:r>
        <w:rPr>
          <w:bCs/>
          <w:b/>
        </w:rPr>
        <w:t xml:space="preserve">Use Phase (60.00 kg CO2e, 87.3%):</w:t>
      </w:r>
      <w:r>
        <w:t xml:space="preserve"> </w:t>
      </w:r>
      <w:r>
        <w:t xml:space="preserve">The most significant contributor to the product\'s carbon footprint is the energy consumed during its 5-year operational lifespan. This suggests that improving energy efficiency during use and encouraging renewable energy adoption by end-users are critical intervention points.</w:t>
      </w:r>
    </w:p>
    <w:p>
      <w:pPr>
        <w:numPr>
          <w:ilvl w:val="0"/>
          <w:numId w:val="1010"/>
        </w:numPr>
        <w:pStyle w:val="Compact"/>
      </w:pPr>
      <w:r>
        <w:rPr>
          <w:bCs/>
          <w:b/>
        </w:rPr>
        <w:t xml:space="preserve">Materials Acquisition &amp; Processing (5.95 kg CO2e, 8.7%):</w:t>
      </w:r>
      <w:r>
        <w:t xml:space="preserve"> </w:t>
      </w:r>
      <w:r>
        <w:t xml:space="preserve">The embedded emissions in raw materials and component manufacturing represent the second largest hotspot. Focusing on low-carbon materials, optimizing material usage, and working with suppliers on their decarbonization efforts will be impactful.</w:t>
      </w:r>
    </w:p>
    <w:p>
      <w:pPr>
        <w:numPr>
          <w:ilvl w:val="0"/>
          <w:numId w:val="1010"/>
        </w:numPr>
        <w:pStyle w:val="Compact"/>
      </w:pPr>
      <w:r>
        <w:rPr>
          <w:bCs/>
          <w:b/>
        </w:rPr>
        <w:t xml:space="preserve">Manufacturing / Production (1.50 kg CO2e, 2.2%):</w:t>
      </w:r>
      <w:r>
        <w:t xml:space="preserve"> </w:t>
      </w:r>
      <w:r>
        <w:t xml:space="preserve">While smaller than the use phase, opportunities exist to further decarbonize the manufacturing process, particularly by increasing the reliance on 100% renewable electricity.</w:t>
      </w:r>
    </w:p>
    <w:bookmarkEnd w:id="35"/>
    <w:bookmarkStart w:id="36" w:name="reliability-assessment"/>
    <w:p>
      <w:pPr>
        <w:pStyle w:val="Heading3"/>
      </w:pPr>
      <w:r>
        <w:t xml:space="preserve">5.2. Reliability Assessment</w:t>
      </w:r>
    </w:p>
    <w:p>
      <w:pPr>
        <w:pStyle w:val="FirstParagraph"/>
      </w:pPr>
      <w:r>
        <w:t xml:space="preserve">The reliability of this PCF analysis is considered high, based on:</w:t>
      </w:r>
    </w:p>
    <w:p>
      <w:pPr>
        <w:numPr>
          <w:ilvl w:val="0"/>
          <w:numId w:val="1011"/>
        </w:numPr>
        <w:pStyle w:val="Compact"/>
      </w:pPr>
      <w:r>
        <w:t xml:space="preserve">Adherence to the GHG Protocol Product Standard.</w:t>
      </w:r>
    </w:p>
    <w:p>
      <w:pPr>
        <w:numPr>
          <w:ilvl w:val="0"/>
          <w:numId w:val="1011"/>
        </w:numPr>
        <w:pStyle w:val="Compact"/>
      </w:pPr>
      <w:r>
        <w:t xml:space="preserve">Incorporation of detailed, product-specific parameters where provided.</w:t>
      </w:r>
    </w:p>
    <w:p>
      <w:pPr>
        <w:numPr>
          <w:ilvl w:val="0"/>
          <w:numId w:val="1011"/>
        </w:numPr>
        <w:pStyle w:val="Compact"/>
      </w:pPr>
      <w:r>
        <w:t xml:space="preserve">Use of industry-standard emission factors (e.g., Ecoinvent, DEFRA) for secondary data.</w:t>
      </w:r>
    </w:p>
    <w:p>
      <w:pPr>
        <w:numPr>
          <w:ilvl w:val="0"/>
          <w:numId w:val="1011"/>
        </w:numPr>
        <w:pStyle w:val="Compact"/>
      </w:pPr>
      <w:r>
        <w:t xml:space="preserve">Meeting the 95% Scope 3 coverage requirement.</w:t>
      </w:r>
    </w:p>
    <w:p>
      <w:pPr>
        <w:pStyle w:val="FirstParagraph"/>
      </w:pPr>
      <w:r>
        <w:t xml:space="preserve">Limitations exist due to the use of illustrative data for certain parameters (e.g., precise transport routes, specific energy mix for all material suppliers, detailed breakdown of "wqnzxqeq" content for exact BOM items). Further accuracy could be achieved with primary data for all upstream and downstream processes.</w:t>
      </w:r>
    </w:p>
    <w:bookmarkEnd w:id="36"/>
    <w:bookmarkStart w:id="37" w:name="recommendations-for-reduction"/>
    <w:p>
      <w:pPr>
        <w:pStyle w:val="Heading3"/>
      </w:pPr>
      <w:r>
        <w:t xml:space="preserve">5.3. Recommendations for Reduction</w:t>
      </w:r>
    </w:p>
    <w:p>
      <w:pPr>
        <w:pStyle w:val="FirstParagraph"/>
      </w:pPr>
      <w:r>
        <w:t xml:space="preserve">Based on the hotspot analysis, pdrlywymlq should consider the following strategies to reduce the carbon footprint of</w:t>
      </w:r>
      <w:r>
        <w:t xml:space="preserve"> </w:t>
      </w:r>
      <w:r>
        <w:rPr>
          <w:bCs/>
          <w:b/>
        </w:rPr>
        <w:t xml:space="preserve">epyoooklht</w:t>
      </w:r>
      <w:r>
        <w:t xml:space="preserve">:</w:t>
      </w:r>
    </w:p>
    <w:p>
      <w:pPr>
        <w:numPr>
          <w:ilvl w:val="0"/>
          <w:numId w:val="1012"/>
        </w:numPr>
        <w:pStyle w:val="Compact"/>
      </w:pPr>
      <w:r>
        <w:rPr>
          <w:bCs/>
          <w:b/>
        </w:rPr>
        <w:t xml:space="preserve">Enhance Use Phase Efficiency:</w:t>
      </w:r>
    </w:p>
    <w:p>
      <w:pPr>
        <w:numPr>
          <w:ilvl w:val="1"/>
          <w:numId w:val="1013"/>
        </w:numPr>
        <w:pStyle w:val="Compact"/>
      </w:pPr>
      <w:r>
        <w:t xml:space="preserve">Innovate for ultra-low power consumption in future product designs.</w:t>
      </w:r>
    </w:p>
    <w:p>
      <w:pPr>
        <w:numPr>
          <w:ilvl w:val="1"/>
          <w:numId w:val="1013"/>
        </w:numPr>
        <w:pStyle w:val="Compact"/>
      </w:pPr>
      <w:r>
        <w:t xml:space="preserve">Educate customers on energy-efficient usage and benefits of renewable energy.</w:t>
      </w:r>
    </w:p>
    <w:p>
      <w:pPr>
        <w:numPr>
          <w:ilvl w:val="1"/>
          <w:numId w:val="1013"/>
        </w:numPr>
        <w:pStyle w:val="Compact"/>
      </w:pPr>
      <w:r>
        <w:t xml:space="preserve">Explore integration of small-scale renewable energy solutions (e.g., solar charging) if applicable.</w:t>
      </w:r>
    </w:p>
    <w:p>
      <w:pPr>
        <w:numPr>
          <w:ilvl w:val="0"/>
          <w:numId w:val="1012"/>
        </w:numPr>
        <w:pStyle w:val="Compact"/>
      </w:pPr>
      <w:r>
        <w:rPr>
          <w:bCs/>
          <w:b/>
        </w:rPr>
        <w:t xml:space="preserve">Optimize Material Sourcing:</w:t>
      </w:r>
    </w:p>
    <w:p>
      <w:pPr>
        <w:numPr>
          <w:ilvl w:val="1"/>
          <w:numId w:val="1014"/>
        </w:numPr>
        <w:pStyle w:val="Compact"/>
      </w:pPr>
      <w:r>
        <w:t xml:space="preserve">Investigate lower-carbon alternatives for aluminum, batteries, and PCBs.</w:t>
      </w:r>
    </w:p>
    <w:p>
      <w:pPr>
        <w:numPr>
          <w:ilvl w:val="1"/>
          <w:numId w:val="1014"/>
        </w:numPr>
        <w:pStyle w:val="Compact"/>
      </w:pPr>
      <w:r>
        <w:t xml:space="preserve">Engage with suppliers to understand and reduce their emissions (Scope 3 Category 1 focus).</w:t>
      </w:r>
    </w:p>
    <w:p>
      <w:pPr>
        <w:numPr>
          <w:ilvl w:val="1"/>
          <w:numId w:val="1014"/>
        </w:numPr>
        <w:pStyle w:val="Compact"/>
      </w:pPr>
      <w:r>
        <w:t xml:space="preserve">Increase the use of recycled content in materials like aluminum and plastics.</w:t>
      </w:r>
    </w:p>
    <w:p>
      <w:pPr>
        <w:numPr>
          <w:ilvl w:val="0"/>
          <w:numId w:val="1012"/>
        </w:numPr>
        <w:pStyle w:val="Compact"/>
      </w:pPr>
      <w:r>
        <w:rPr>
          <w:bCs/>
          <w:b/>
        </w:rPr>
        <w:t xml:space="preserve">Decarbonize Production:</w:t>
      </w:r>
    </w:p>
    <w:p>
      <w:pPr>
        <w:numPr>
          <w:ilvl w:val="1"/>
          <w:numId w:val="1015"/>
        </w:numPr>
        <w:pStyle w:val="Compact"/>
      </w:pPr>
      <w:r>
        <w:t xml:space="preserve">Strive for 100% renewable energy procurement for manufacturing operations.</w:t>
      </w:r>
    </w:p>
    <w:p>
      <w:pPr>
        <w:numPr>
          <w:ilvl w:val="1"/>
          <w:numId w:val="1015"/>
        </w:numPr>
        <w:pStyle w:val="Compact"/>
      </w:pPr>
      <w:r>
        <w:t xml:space="preserve">Implement energy efficiency measures at the production facility.</w:t>
      </w:r>
    </w:p>
    <w:p>
      <w:pPr>
        <w:numPr>
          <w:ilvl w:val="0"/>
          <w:numId w:val="1012"/>
        </w:numPr>
        <w:pStyle w:val="Compact"/>
      </w:pPr>
      <w:r>
        <w:rPr>
          <w:bCs/>
          <w:b/>
        </w:rPr>
        <w:t xml:space="preserve">Strengthen Circular Economy Initiatives:</w:t>
      </w:r>
    </w:p>
    <w:p>
      <w:pPr>
        <w:numPr>
          <w:ilvl w:val="1"/>
          <w:numId w:val="1016"/>
        </w:numPr>
        <w:pStyle w:val="Compact"/>
      </w:pPr>
      <w:r>
        <w:t xml:space="preserve">Expand the "Product Refurbishment and Component Reuse Program" (ujiidltivx) to maximize material recovery and extend product lifespan.</w:t>
      </w:r>
    </w:p>
    <w:p>
      <w:pPr>
        <w:numPr>
          <w:ilvl w:val="1"/>
          <w:numId w:val="1016"/>
        </w:numPr>
        <w:pStyle w:val="Compact"/>
      </w:pPr>
      <w:r>
        <w:t xml:space="preserve">Design for easier disassembly, repair, and recycling (Design for Environment).</w:t>
      </w:r>
    </w:p>
    <w:p>
      <w:pPr>
        <w:numPr>
          <w:ilvl w:val="0"/>
          <w:numId w:val="1012"/>
        </w:numPr>
        <w:pStyle w:val="Compact"/>
      </w:pPr>
      <w:r>
        <w:rPr>
          <w:bCs/>
          <w:b/>
        </w:rPr>
        <w:t xml:space="preserve">Refine Logistics:</w:t>
      </w:r>
    </w:p>
    <w:p>
      <w:pPr>
        <w:numPr>
          <w:ilvl w:val="1"/>
          <w:numId w:val="1017"/>
        </w:numPr>
        <w:pStyle w:val="Compact"/>
      </w:pPr>
      <w:r>
        <w:t xml:space="preserve">Optimize transport routes and modes (e.g., shifting to rail or sea where feasible) to reduce emissions.</w:t>
      </w:r>
    </w:p>
    <w:p>
      <w:pPr>
        <w:numPr>
          <w:ilvl w:val="1"/>
          <w:numId w:val="1017"/>
        </w:numPr>
        <w:pStyle w:val="Compact"/>
      </w:pPr>
      <w:r>
        <w:t xml:space="preserve">Explore localized sourcing to reduce transport distances.</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epyoooklht - pdrlywymlq</dc:title>
  <dc:creator/>
  <dc:description>Detailed Product Carbon Footprint (PCF) analysis report for product epyoooklht, manufactured by pdrlywymlq, adhering to GHG Protocol standards and 2026 LSR updates.</dc:description>
  <cp:keywords/>
  <dcterms:created xsi:type="dcterms:W3CDTF">2026-07-15T10:27:34Z</dcterms:created>
  <dcterms:modified xsi:type="dcterms:W3CDTF">2026-07-15T10:27:34Z</dcterms:modified>
</cp:coreProperties>
</file>

<file path=docProps/custom.xml><?xml version="1.0" encoding="utf-8"?>
<Properties xmlns="http://schemas.openxmlformats.org/officeDocument/2006/custom-properties" xmlns:vt="http://schemas.openxmlformats.org/officeDocument/2006/docPropsVTypes"/>
</file>