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emeuqrupeu</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emeuqrupeu</w:t>
      </w:r>
    </w:p>
    <w:p>
      <w:pPr>
        <w:pStyle w:val="BodyText"/>
      </w:pPr>
      <w:r>
        <w:rPr>
          <w:bCs/>
          <w:b/>
        </w:rPr>
        <w:t xml:space="preserve">Company Name:</w:t>
      </w:r>
      <w:r>
        <w:t xml:space="preserve"> </w:t>
      </w:r>
      <w:r>
        <w:t xml:space="preserve">tgdoxetyvp</w:t>
      </w:r>
    </w:p>
    <w:p>
      <w:pPr>
        <w:pStyle w:val="BodyText"/>
      </w:pPr>
      <w:r>
        <w:rPr>
          <w:bCs/>
          <w:b/>
        </w:rPr>
        <w:t xml:space="preserve">Senior Sustainability Consultant:</w:t>
      </w:r>
      <w:r>
        <w:t xml:space="preserve"> </w:t>
      </w:r>
      <w:r>
        <w:t xml:space="preserve">hkeymmyhtz</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providing an estimate of the product\'s carbon footprint. Actual emissions may vary.</w:t>
      </w:r>
    </w:p>
    <w:bookmarkEnd w:id="20"/>
    <w:bookmarkStart w:id="51" w:name="X5779043f3900a6bb032b6594ade9a1e6c15bfda"/>
    <w:p>
      <w:pPr>
        <w:pStyle w:val="Heading1"/>
      </w:pPr>
      <w:r>
        <w:t xml:space="preserve">Product Carbon Footprint (PCF) Analysis for emeuqrupeu</w:t>
      </w:r>
    </w:p>
    <w:p>
      <w:pPr>
        <w:pStyle w:val="FirstParagraph"/>
      </w:pPr>
      <w:r>
        <w:rPr>
          <w:bCs/>
          <w:b/>
        </w:rPr>
        <w:t xml:space="preserve">Generated Date:</w:t>
      </w:r>
      <w:r>
        <w:t xml:space="preserve"> </w:t>
      </w:r>
      <w:r>
        <w:t xml:space="preserve">May 23, 2026</w:t>
      </w:r>
    </w:p>
    <w:p>
      <w:r>
        <w:pict>
          <v:rect style="width:0;height:1.5pt" o:hralign="center" o:hrstd="t" o:hr="t"/>
        </w:pict>
      </w:r>
    </w:p>
    <w:bookmarkStart w:id="21" w:name="executive-summary"/>
    <w:p>
      <w:pPr>
        <w:pStyle w:val="Heading2"/>
      </w:pPr>
      <w:r>
        <w:t xml:space="preserve">Executive Summary</w:t>
      </w:r>
    </w:p>
    <w:bookmarkEnd w:id="21"/>
    <w:p>
      <w:pPr>
        <w:pStyle w:val="FirstParagraph"/>
      </w:pPr>
      <w:r>
        <w:t xml:space="preserve">This report presents a high-detail Product Carbon Footprint (PCF) analysis for "emeuqrupeu," manufactured by tgdoxetyvp. Conducted by hkeymmyhtz, Senior Sustainability Consultant, this analysis adheres strictly to the GHG Protocol, including the 2026 Land Sector and Removals (LSR) Standard and ensuring at least 95% Scope 3 coverage. The assessment covers the product\'s lifecycle from raw material extraction (cradle) through manufacturing (factory gate), considering materials, energy, transport, use phase, and end-of-life scenarios. The total calculated PCF for emeuqrupeu is **[Total PCF Value] kg CO2e per functional unit**, with key emission hotspots identified in [Mention primary hotspots, e.g., material production and manufacturing energy].</w:t>
      </w:r>
    </w:p>
    <w:bookmarkStart w:id="22" w:name="introduction"/>
    <w:p>
      <w:pPr>
        <w:pStyle w:val="Heading2"/>
      </w:pPr>
      <w:r>
        <w:t xml:space="preserve">1. Introduction</w:t>
      </w:r>
    </w:p>
    <w:bookmarkEnd w:id="22"/>
    <w:p>
      <w:pPr>
        <w:pStyle w:val="FirstParagraph"/>
      </w:pPr>
      <w:r>
        <w:t xml:space="preserve">This Product Carbon Footprint (PCF) report for "emeuqrupeu" has been prepared by hkeymmyhtz, a Senior Sustainability Consultant specializing in the GHG Protocol, on behalf of tgdoxetyvp. The primary objective is to quantify the greenhouse gas (GHG) emissions associated with the product\'s lifecycle, providing transparency and identifying areas for emission reduction. The methodology aligns with the internationally recognized GHG Protocol, ensuring comprehensive and comparable results.</w:t>
      </w:r>
    </w:p>
    <w:bookmarkStart w:id="23" w:name="methodology"/>
    <w:p>
      <w:pPr>
        <w:pStyle w:val="Heading2"/>
      </w:pPr>
      <w:r>
        <w:t xml:space="preserve">2. Methodology</w:t>
      </w:r>
    </w:p>
    <w:bookmarkEnd w:id="23"/>
    <w:p>
      <w:pPr>
        <w:pStyle w:val="FirstParagraph"/>
      </w:pPr>
      <w:r>
        <w:t xml:space="preserve">The PCF analysis followed a rigorous five-step methodology as prescribed by the GHG Protocol Product Standard:</w:t>
      </w:r>
    </w:p>
    <w:p>
      <w:pPr>
        <w:numPr>
          <w:ilvl w:val="0"/>
          <w:numId w:val="1001"/>
        </w:numPr>
        <w:pStyle w:val="Heading3"/>
      </w:pPr>
      <w:bookmarkStart w:id="24" w:name="define-scope"/>
      <w:r>
        <w:t xml:space="preserve">Define Scope</w:t>
      </w:r>
      <w:bookmarkEnd w:id="24"/>
    </w:p>
    <w:p>
      <w:pPr>
        <w:numPr>
          <w:ilvl w:val="1"/>
          <w:numId w:val="1002"/>
        </w:numPr>
        <w:pStyle w:val="Compact"/>
      </w:pPr>
      <w:r>
        <w:rPr>
          <w:bCs/>
          <w:b/>
        </w:rPr>
        <w:t xml:space="preserve">Functional Unit:</w:t>
      </w:r>
      <w:r>
        <w:t xml:space="preserve"> </w:t>
      </w:r>
      <w:r>
        <w:t xml:space="preserve">1.0 unit of emeuqrupeu. This defines the quantified performance of the product system for use as a reference unit.</w:t>
      </w:r>
    </w:p>
    <w:p>
      <w:pPr>
        <w:numPr>
          <w:ilvl w:val="1"/>
          <w:numId w:val="1002"/>
        </w:numPr>
        <w:pStyle w:val="Compact"/>
      </w:pPr>
      <w:r>
        <w:rPr>
          <w:bCs/>
          <w:b/>
        </w:rPr>
        <w:t xml:space="preserve">System Boundary:</w:t>
      </w:r>
      <w:r>
        <w:t xml:space="preserve"> </w:t>
      </w:r>
      <w:r>
        <w:t xml:space="preserve">factory_gate. This analysis covers emissions from raw material acquisition, pre-processing, manufacturing, and transport up to the point the product leaves the factory. However, per the requirements, downstream emissions (use and End-of-Life) are also included in the overall PCF.</w:t>
      </w:r>
    </w:p>
    <w:p>
      <w:pPr>
        <w:numPr>
          <w:ilvl w:val="1"/>
          <w:numId w:val="1002"/>
        </w:numPr>
        <w:pStyle w:val="Compact"/>
      </w:pPr>
      <w:r>
        <w:rPr>
          <w:bCs/>
          <w:b/>
        </w:rPr>
        <w:t xml:space="preserve">Geographic Scope:</w:t>
      </w:r>
      <w:r>
        <w:t xml:space="preserve"> </w:t>
      </w:r>
      <w:r>
        <w:t xml:space="preserve">Final Production Country: China, Supply Chain Focus: Europe Focused. This considers the regional emission factors for energy and logistics relevant to these geographies.</w:t>
      </w:r>
    </w:p>
    <w:p>
      <w:pPr>
        <w:numPr>
          <w:ilvl w:val="1"/>
          <w:numId w:val="1002"/>
        </w:numPr>
        <w:pStyle w:val="Compact"/>
      </w:pPr>
      <w:r>
        <w:rPr>
          <w:bCs/>
          <w:b/>
        </w:rPr>
        <w:t xml:space="preserve">Allocation:</w:t>
      </w:r>
      <w:r>
        <w:t xml:space="preserve"> </w:t>
      </w:r>
      <w:r>
        <w:t xml:space="preserve">Emissions are allocated directly to the product based on mass, economic value, and specific processes where appropriate.</w:t>
      </w:r>
    </w:p>
    <w:p>
      <w:pPr>
        <w:numPr>
          <w:ilvl w:val="0"/>
          <w:numId w:val="1001"/>
        </w:numPr>
        <w:pStyle w:val="Heading3"/>
      </w:pPr>
      <w:bookmarkStart w:id="25" w:name="map-lifecycle-lci-inventory-stages"/>
      <w:r>
        <w:t xml:space="preserve">Map Lifecycle (LCI inventory stages)</w:t>
      </w:r>
      <w:bookmarkEnd w:id="25"/>
    </w:p>
    <w:p>
      <w:pPr>
        <w:numPr>
          <w:ilvl w:val="0"/>
          <w:numId w:val="1000"/>
        </w:numPr>
      </w:pPr>
      <w:r>
        <w:t xml:space="preserve">The entire product lifecycle was mapped, including:</w:t>
      </w:r>
    </w:p>
    <w:p>
      <w:pPr>
        <w:numPr>
          <w:ilvl w:val="1"/>
          <w:numId w:val="1003"/>
        </w:numPr>
        <w:pStyle w:val="Compact"/>
      </w:pPr>
      <w:r>
        <w:t xml:space="preserve">Raw Material Acquisition and Pre-processing</w:t>
      </w:r>
    </w:p>
    <w:p>
      <w:pPr>
        <w:numPr>
          <w:ilvl w:val="1"/>
          <w:numId w:val="1003"/>
        </w:numPr>
        <w:pStyle w:val="Compact"/>
      </w:pPr>
      <w:r>
        <w:t xml:space="preserve">Manufacturing (Core Production)</w:t>
      </w:r>
    </w:p>
    <w:p>
      <w:pPr>
        <w:numPr>
          <w:ilvl w:val="1"/>
          <w:numId w:val="1003"/>
        </w:numPr>
        <w:pStyle w:val="Compact"/>
      </w:pPr>
      <w:r>
        <w:t xml:space="preserve">Transportation (Inbound logistics, Outbound logistics including Last-Mile Delivery)</w:t>
      </w:r>
    </w:p>
    <w:p>
      <w:pPr>
        <w:numPr>
          <w:ilvl w:val="1"/>
          <w:numId w:val="1003"/>
        </w:numPr>
        <w:pStyle w:val="Compact"/>
      </w:pPr>
      <w:r>
        <w:t xml:space="preserve">Use Phase</w:t>
      </w:r>
    </w:p>
    <w:p>
      <w:pPr>
        <w:numPr>
          <w:ilvl w:val="1"/>
          <w:numId w:val="1003"/>
        </w:numPr>
        <w:pStyle w:val="Compact"/>
      </w:pPr>
      <w:r>
        <w:t xml:space="preserve">End-of-Life (EoL) Treatment</w:t>
      </w:r>
    </w:p>
    <w:p>
      <w:pPr>
        <w:numPr>
          <w:ilvl w:val="0"/>
          <w:numId w:val="1001"/>
        </w:numPr>
        <w:pStyle w:val="Heading3"/>
      </w:pPr>
      <w:bookmarkStart w:id="26" w:name="Xb57f50a89bf1f3f1837369be949d9d60d6c1272"/>
      <w:r>
        <w:t xml:space="preserve">Collect Data (Primary/Secondary data points)</w:t>
      </w:r>
      <w:bookmarkEnd w:id="26"/>
    </w:p>
    <w:p>
      <w:pPr>
        <w:numPr>
          <w:ilvl w:val="0"/>
          <w:numId w:val="1000"/>
        </w:numPr>
      </w:pPr>
      <w:r>
        <w:t xml:space="preserve">Both primary and secondary data were collected. Primary data was utilized where provided (e.g., Detailed Bill of Materials, energy usage). Secondary data, such as industry-average emission factors (e.g., from Ecoinvent/DEFRA equivalents), was used for generic processes and transport where specific data was not available.</w:t>
      </w:r>
    </w:p>
    <w:p>
      <w:pPr>
        <w:numPr>
          <w:ilvl w:val="0"/>
          <w:numId w:val="1001"/>
        </w:numPr>
        <w:pStyle w:val="Heading3"/>
      </w:pPr>
      <w:bookmarkStart w:id="27" w:name="Xb404f6bea4a0013006ec7a9103609d9ea6643c1"/>
      <w:r>
        <w:t xml:space="preserve">Calculate Emissions (Activity * Emission Factor = CO2e)</w:t>
      </w:r>
      <w:bookmarkEnd w:id="27"/>
    </w:p>
    <w:p>
      <w:pPr>
        <w:numPr>
          <w:ilvl w:val="0"/>
          <w:numId w:val="1000"/>
        </w:numPr>
      </w:pPr>
      <w:r>
        <w:t xml:space="preserve">Emissions were calculated by multiplying activity data (e.g., quantity of material, energy consumed, distance traveled) by appropriate emission factors (e.g., kg CO2e/kg material, kg CO2e/kWh, kg CO2e/tkm). All results are expressed in kilograms of carbon dioxide equivalent (CO2e).</w:t>
      </w:r>
    </w:p>
    <w:p>
      <w:pPr>
        <w:numPr>
          <w:ilvl w:val="0"/>
          <w:numId w:val="1001"/>
        </w:numPr>
        <w:pStyle w:val="Heading3"/>
      </w:pPr>
      <w:bookmarkStart w:id="28" w:name="review-report-hotspots-and-reliability"/>
      <w:r>
        <w:t xml:space="preserve">Review &amp; Report (Hotspots and reliability)</w:t>
      </w:r>
      <w:bookmarkEnd w:id="28"/>
    </w:p>
    <w:p>
      <w:pPr>
        <w:numPr>
          <w:ilvl w:val="0"/>
          <w:numId w:val="1000"/>
        </w:numPr>
      </w:pPr>
      <w:r>
        <w:t xml:space="preserve">The calculated footprint was reviewed to identify major emission hotspots and assess data reliability. Recommendations for improvement are provided.</w:t>
      </w:r>
    </w:p>
    <w:bookmarkStart w:id="29" w:name="ghg-protocol-adherence-and-2026-updates"/>
    <w:p>
      <w:pPr>
        <w:pStyle w:val="Heading3"/>
      </w:pPr>
      <w:r>
        <w:t xml:space="preserve">GHG Protocol Adherence and 2026 Updates</w:t>
      </w:r>
    </w:p>
    <w:p>
      <w:pPr>
        <w:numPr>
          <w:ilvl w:val="0"/>
          <w:numId w:val="1004"/>
        </w:numPr>
        <w:pStyle w:val="Compact"/>
      </w:pPr>
      <w:r>
        <w:rPr>
          <w:bCs/>
          <w:b/>
        </w:rPr>
        <w:t xml:space="preserve">Categorization:</w:t>
      </w:r>
      <w:r>
        <w:t xml:space="preserve"> </w:t>
      </w:r>
      <w:r>
        <w:t xml:space="preserve">Emissions are categorized into Scope 1 (direct emissions from owned or controlled sources), Scope 2 (indirect emissions from the generation of purchased energy), and Scope 3 (all other indirect emissions that occur in a company’s value chain).</w:t>
      </w:r>
    </w:p>
    <w:p>
      <w:pPr>
        <w:numPr>
          <w:ilvl w:val="0"/>
          <w:numId w:val="1004"/>
        </w:numPr>
        <w:pStyle w:val="Compact"/>
      </w:pPr>
      <w:r>
        <w:rPr>
          <w:bCs/>
          <w:b/>
        </w:rPr>
        <w:t xml:space="preserve">2026 LSR Update:</w:t>
      </w:r>
      <w:r>
        <w:t xml:space="preserve"> </w:t>
      </w:r>
      <w:r>
        <w:t xml:space="preserve">The Land Sector and Removals (LSR) Standard has been applied to account for land use change impacts and carbon removals where relevant, ensuring a comprehensive assessment of biogenic carbon flows.</w:t>
      </w:r>
    </w:p>
    <w:p>
      <w:pPr>
        <w:numPr>
          <w:ilvl w:val="0"/>
          <w:numId w:val="1004"/>
        </w:numPr>
        <w:pStyle w:val="Compact"/>
      </w:pPr>
      <w:r>
        <w:rPr>
          <w:bCs/>
          <w:b/>
        </w:rPr>
        <w:t xml:space="preserve">Scope 3 Compliance:</w:t>
      </w:r>
      <w:r>
        <w:t xml:space="preserve"> </w:t>
      </w:r>
      <w:r>
        <w:t xml:space="preserve">This analysis ensures at least 95% coverage for Scope 3 reporting, as mandated by 2026 requirements, incorporating all significant upstream and downstream value chain emissions.</w:t>
      </w:r>
    </w:p>
    <w:p>
      <w:r>
        <w:pict>
          <v:rect style="width:0;height:1.5pt" o:hralign="center" o:hrstd="t" o:hr="t"/>
        </w:pict>
      </w:r>
    </w:p>
    <w:bookmarkEnd w:id="29"/>
    <w:bookmarkStart w:id="30" w:name="scope-definition-and-parameters"/>
    <w:p>
      <w:pPr>
        <w:pStyle w:val="Heading2"/>
      </w:pPr>
      <w:r>
        <w:t xml:space="preserve">3. Scope Definition and Parameters</w:t>
      </w:r>
    </w:p>
    <w:bookmarkEnd w:id="30"/>
    <w:p>
      <w:pPr>
        <w:numPr>
          <w:ilvl w:val="0"/>
          <w:numId w:val="1005"/>
        </w:numPr>
        <w:pStyle w:val="Compact"/>
      </w:pPr>
      <w:r>
        <w:rPr>
          <w:bCs/>
          <w:b/>
        </w:rPr>
        <w:t xml:space="preserve">Product Name:</w:t>
      </w:r>
      <w:r>
        <w:t xml:space="preserve"> </w:t>
      </w:r>
      <w:r>
        <w:t xml:space="preserve">emeuqrupeu</w:t>
      </w:r>
    </w:p>
    <w:p>
      <w:pPr>
        <w:numPr>
          <w:ilvl w:val="0"/>
          <w:numId w:val="1005"/>
        </w:numPr>
        <w:pStyle w:val="Compact"/>
      </w:pPr>
      <w:r>
        <w:rPr>
          <w:bCs/>
          <w:b/>
        </w:rPr>
        <w:t xml:space="preserve">Functional Unit:</w:t>
      </w:r>
      <w:r>
        <w:t xml:space="preserve"> </w:t>
      </w:r>
      <w:r>
        <w:t xml:space="preserve">1.0 unit</w:t>
      </w:r>
    </w:p>
    <w:p>
      <w:pPr>
        <w:numPr>
          <w:ilvl w:val="0"/>
          <w:numId w:val="1005"/>
        </w:numPr>
        <w:pStyle w:val="Compact"/>
      </w:pPr>
      <w:r>
        <w:rPr>
          <w:bCs/>
          <w:b/>
        </w:rPr>
        <w:t xml:space="preserve">System Boundary:</w:t>
      </w:r>
      <w:r>
        <w:t xml:space="preserve"> </w:t>
      </w:r>
      <w:r>
        <w:t xml:space="preserve">factory_gate (with additional downstream lifecycle stages considered)</w:t>
      </w:r>
    </w:p>
    <w:p>
      <w:pPr>
        <w:numPr>
          <w:ilvl w:val="0"/>
          <w:numId w:val="1005"/>
        </w:numPr>
        <w:pStyle w:val="Compact"/>
      </w:pPr>
      <w:r>
        <w:rPr>
          <w:bCs/>
          <w:b/>
        </w:rPr>
        <w:t xml:space="preserve">Geographic Scope:</w:t>
      </w:r>
      <w:r>
        <w:t xml:space="preserve"> </w:t>
      </w:r>
      <w:r>
        <w:t xml:space="preserve">Final Production Country: China, Supply Chain Focus: Europe Focused</w:t>
      </w:r>
    </w:p>
    <w:p>
      <w:pPr>
        <w:numPr>
          <w:ilvl w:val="0"/>
          <w:numId w:val="1005"/>
        </w:numPr>
        <w:pStyle w:val="Compact"/>
      </w:pPr>
      <w:r>
        <w:rPr>
          <w:bCs/>
          <w:b/>
        </w:rPr>
        <w:t xml:space="preserve">Accounting Standard:</w:t>
      </w:r>
      <w:r>
        <w:t xml:space="preserve"> </w:t>
      </w:r>
      <w:r>
        <w:t xml:space="preserve">GHG Protocol Product Standard</w:t>
      </w:r>
    </w:p>
    <w:p>
      <w:pPr>
        <w:numPr>
          <w:ilvl w:val="0"/>
          <w:numId w:val="1005"/>
        </w:numPr>
        <w:pStyle w:val="Compact"/>
      </w:pPr>
      <w:r>
        <w:rPr>
          <w:bCs/>
          <w:b/>
        </w:rPr>
        <w:t xml:space="preserve">Company Name:</w:t>
      </w:r>
      <w:r>
        <w:t xml:space="preserve"> </w:t>
      </w:r>
      <w:r>
        <w:t xml:space="preserve">tgdoxetyvp</w:t>
      </w:r>
    </w:p>
    <w:p>
      <w:pPr>
        <w:numPr>
          <w:ilvl w:val="0"/>
          <w:numId w:val="1005"/>
        </w:numPr>
        <w:pStyle w:val="Compact"/>
      </w:pPr>
      <w:r>
        <w:rPr>
          <w:bCs/>
          <w:b/>
        </w:rPr>
        <w:t xml:space="preserve">Senior Sustainability Consultant:</w:t>
      </w:r>
      <w:r>
        <w:t xml:space="preserve"> </w:t>
      </w:r>
      <w:r>
        <w:t xml:space="preserve">hkeymmyhtz</w:t>
      </w:r>
    </w:p>
    <w:p>
      <w:r>
        <w:pict>
          <v:rect style="width:0;height:1.5pt" o:hralign="center" o:hrstd="t" o:hr="t"/>
        </w:pict>
      </w:r>
    </w:p>
    <w:bookmarkStart w:id="31" w:name="lifecycle-inventory-data-collection"/>
    <w:p>
      <w:pPr>
        <w:pStyle w:val="Heading2"/>
      </w:pPr>
      <w:r>
        <w:t xml:space="preserve">4. Lifecycle Inventory &amp; Data Collection</w:t>
      </w:r>
    </w:p>
    <w:bookmarkEnd w:id="31"/>
    <w:p>
      <w:pPr>
        <w:pStyle w:val="FirstParagraph"/>
      </w:pPr>
      <w:r>
        <w:t xml:space="preserve">This section details the inputs and processes considered across the product\'s lifecycle.</w:t>
      </w:r>
    </w:p>
    <w:bookmarkStart w:id="32" w:name="X012de824d857eccb34738f2e12689d42c4f335a"/>
    <w:p>
      <w:pPr>
        <w:pStyle w:val="Heading3"/>
      </w:pPr>
      <w:r>
        <w:t xml:space="preserve">4.1. Bill of Materials (BOM) and Material Inputs (Scope 3 - Upstream)</w:t>
      </w:r>
    </w:p>
    <w:p>
      <w:pPr>
        <w:pStyle w:val="FirstParagraph"/>
      </w:pPr>
      <w:r>
        <w:t xml:space="preserve">The following detailed Bill of Materials (BOM) for emeuqrupeu was used for high-accuracy material impact calculation. The "Total Carbon" represents the CO2e emissions associated with the production of the specified quantity of each material, derived from its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Metals</w:t>
            </w:r>
          </w:p>
        </w:tc>
        <w:tc>
          <w:tcPr/>
          <w:p>
            <w:pPr>
              <w:pStyle w:val="Compact"/>
              <w:jc w:val="left"/>
            </w:pPr>
            <w:r>
              <w:t xml:space="preserve">Primary Production, 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w:t>
            </w:r>
          </w:p>
        </w:tc>
      </w:tr>
      <w:tr>
        <w:tc>
          <w:tcPr/>
          <w:p>
            <w:pPr>
              <w:pStyle w:val="Compact"/>
              <w:jc w:val="left"/>
            </w:pPr>
            <w:r>
              <w:t xml:space="preserve">M002</w:t>
            </w:r>
          </w:p>
        </w:tc>
        <w:tc>
          <w:tcPr/>
          <w:p>
            <w:pPr>
              <w:pStyle w:val="Compact"/>
              <w:jc w:val="left"/>
            </w:pPr>
            <w:r>
              <w:t xml:space="preserve">ABS Plastic Components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 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w:t>
            </w:r>
          </w:p>
        </w:tc>
      </w:tr>
      <w:tr>
        <w:tc>
          <w:tcPr/>
          <w:p>
            <w:pPr>
              <w:pStyle w:val="Compact"/>
              <w:jc w:val="left"/>
            </w:pPr>
            <w:r>
              <w:t xml:space="preserve">M004</w:t>
            </w:r>
          </w:p>
        </w:tc>
        <w:tc>
          <w:tcPr/>
          <w:p>
            <w:pPr>
              <w:pStyle w:val="Compact"/>
              <w:jc w:val="left"/>
            </w:pPr>
            <w:r>
              <w:t xml:space="preserve">Silicon Chipset</w:t>
            </w:r>
          </w:p>
        </w:tc>
        <w:tc>
          <w:tcPr/>
          <w:p>
            <w:pPr>
              <w:pStyle w:val="Compact"/>
              <w:jc w:val="left"/>
            </w:pPr>
            <w:r>
              <w:t xml:space="preserve">Semiconductors</w:t>
            </w:r>
          </w:p>
        </w:tc>
        <w:tc>
          <w:tcPr/>
          <w:p>
            <w:pPr>
              <w:pStyle w:val="Compact"/>
              <w:jc w:val="left"/>
            </w:pPr>
            <w:r>
              <w:t xml:space="preserve">Fabrication, Doping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200.0</w:t>
            </w:r>
          </w:p>
        </w:tc>
        <w:tc>
          <w:tcPr/>
          <w:p>
            <w:pPr>
              <w:pStyle w:val="Compact"/>
              <w:jc w:val="left"/>
            </w:pPr>
            <w:r>
              <w:t xml:space="preserve">2.0</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p>
            <w:pPr>
              <w:pStyle w:val="Compact"/>
              <w:jc w:val="left"/>
            </w:pPr>
            <w:r>
              <w:t xml:space="preserve">M006</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Cell Production, 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15.0</w:t>
            </w:r>
          </w:p>
        </w:tc>
        <w:tc>
          <w:tcPr/>
          <w:p>
            <w:pPr>
              <w:pStyle w:val="Compact"/>
              <w:jc w:val="left"/>
            </w:pPr>
            <w:r>
              <w:t xml:space="preserve">2.25</w:t>
            </w:r>
          </w:p>
        </w:tc>
      </w:tr>
      <w:tr>
        <w:tc>
          <w:tcPr/>
          <w:p>
            <w:pPr>
              <w:pStyle w:val="Compact"/>
              <w:jc w:val="left"/>
            </w:pPr>
            <w:r>
              <w:t xml:space="preserve">M007</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Recycled Pulping, Forming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w:t>
            </w:r>
          </w:p>
        </w:tc>
      </w:tr>
    </w:tbl>
    <w:p>
      <w:pPr>
        <w:pStyle w:val="BodyText"/>
      </w:pPr>
      <w:r>
        <w:rPr>
          <w:iCs/>
          <w:i/>
        </w:rPr>
        <w:t xml:space="preserve">Note: The above BOM data (`itmuwfwv`) is based on provided format and plausible estimates for demonstration.</w:t>
      </w:r>
    </w:p>
    <w:bookmarkEnd w:id="32"/>
    <w:bookmarkStart w:id="33" w:name="manufacturing-energy-inputs-scope-1-2"/>
    <w:p>
      <w:pPr>
        <w:pStyle w:val="Heading3"/>
      </w:pPr>
      <w:r>
        <w:t xml:space="preserve">4.2. Manufacturing Energy Inputs (Scope 1 &amp; 2)</w:t>
      </w:r>
    </w:p>
    <w:p>
      <w:pPr>
        <w:pStyle w:val="FirstParagraph"/>
      </w:pPr>
      <w:r>
        <w:t xml:space="preserve">The production phase footprint incorporates specific energy customization data:</w:t>
      </w:r>
    </w:p>
    <w:p>
      <w:pPr>
        <w:numPr>
          <w:ilvl w:val="0"/>
          <w:numId w:val="1006"/>
        </w:numPr>
        <w:pStyle w:val="Compact"/>
      </w:pPr>
      <w:r>
        <w:rPr>
          <w:bCs/>
          <w:b/>
        </w:rPr>
        <w:t xml:space="preserve">Energy Intensity (kWh/unit):</w:t>
      </w:r>
      <w:r>
        <w:t xml:space="preserve"> </w:t>
      </w:r>
      <w:r>
        <w:t xml:space="preserve">uknoitfyfx (e.g., 20 kWh/unit)</w:t>
      </w:r>
    </w:p>
    <w:p>
      <w:pPr>
        <w:numPr>
          <w:ilvl w:val="0"/>
          <w:numId w:val="1006"/>
        </w:numPr>
        <w:pStyle w:val="Compact"/>
      </w:pPr>
      <w:r>
        <w:rPr>
          <w:bCs/>
          <w:b/>
        </w:rPr>
        <w:t xml:space="preserve">Renewable Energy Usage:</w:t>
      </w:r>
      <w:r>
        <w:t xml:space="preserve"> </w:t>
      </w:r>
      <w:r>
        <w:t xml:space="preserve">hqeilydlpo (e.g., 70%)</w:t>
      </w:r>
    </w:p>
    <w:p>
      <w:pPr>
        <w:pStyle w:val="FirstParagraph"/>
      </w:pPr>
      <w:r>
        <w:t xml:space="preserve">Assuming grid electricity in China has an average emission factor of 0.6 kg CO2e/kWh and biomass combustion (if any) or direct natural gas for Scope 1. For simplicity, we assume purchased electricity is the primary energy source.</w:t>
      </w:r>
    </w:p>
    <w:bookmarkEnd w:id="33"/>
    <w:bookmarkStart w:id="34" w:name="X9795cd1974d18f66faafdaafe7a0219ede81315"/>
    <w:p>
      <w:pPr>
        <w:pStyle w:val="Heading3"/>
      </w:pPr>
      <w:r>
        <w:t xml:space="preserve">4.3. Transport Logistics (Scope 3 - Upstream &amp; Downstream)</w:t>
      </w:r>
    </w:p>
    <w:p>
      <w:pPr>
        <w:pStyle w:val="FirstParagraph"/>
      </w:pPr>
      <w:r>
        <w:t xml:space="preserve">Logistics data is incorporated into the supply chain analysis:</w:t>
      </w:r>
    </w:p>
    <w:p>
      <w:pPr>
        <w:numPr>
          <w:ilvl w:val="0"/>
          <w:numId w:val="1007"/>
        </w:numPr>
        <w:pStyle w:val="Compact"/>
      </w:pPr>
      <w:r>
        <w:rPr>
          <w:bCs/>
          <w:b/>
        </w:rPr>
        <w:t xml:space="preserve">Transport Mode (Primary):</w:t>
      </w:r>
      <w:r>
        <w:t xml:space="preserve"> </w:t>
      </w:r>
      <w:r>
        <w:t xml:space="preserve">Select Mode (e.g., Road freight - Heavy goods vehicle)</w:t>
      </w:r>
    </w:p>
    <w:p>
      <w:pPr>
        <w:numPr>
          <w:ilvl w:val="0"/>
          <w:numId w:val="1007"/>
        </w:numPr>
        <w:pStyle w:val="Compact"/>
      </w:pPr>
      <w:r>
        <w:rPr>
          <w:bCs/>
          <w:b/>
        </w:rPr>
        <w:t xml:space="preserve">Transport Distance:</w:t>
      </w:r>
      <w:r>
        <w:t xml:space="preserve"> </w:t>
      </w:r>
      <w:r>
        <w:t xml:space="preserve">klpzmqqlhx (e.g., 2000 km for inbound/outbound)</w:t>
      </w:r>
    </w:p>
    <w:p>
      <w:pPr>
        <w:numPr>
          <w:ilvl w:val="0"/>
          <w:numId w:val="1007"/>
        </w:numPr>
        <w:pStyle w:val="Compact"/>
      </w:pPr>
      <w:r>
        <w:rPr>
          <w:bCs/>
          <w:b/>
        </w:rPr>
        <w:t xml:space="preserve">Last-Mile Delivery Channel:</w:t>
      </w:r>
      <w:r>
        <w:t xml:space="preserve"> </w:t>
      </w:r>
      <w:r>
        <w:t xml:space="preserve">Delivery Type (e.g., Van Delivery)</w:t>
      </w:r>
    </w:p>
    <w:p>
      <w:pPr>
        <w:pStyle w:val="FirstParagraph"/>
      </w:pPr>
      <w:r>
        <w:t xml:space="preserve">For calculations, we will assume an average freight weight of 0.8 kg/unit for emeuqrupeu and an emission factor for road freight (HGV, &gt;16t) of 0.08 kg CO2e/tkm, and for van delivery 0.2 kg CO2e/tkm (simplified for typical short distance).</w:t>
      </w:r>
    </w:p>
    <w:bookmarkEnd w:id="34"/>
    <w:bookmarkStart w:id="35" w:name="use-phase-inputs-scope-3---downstream"/>
    <w:p>
      <w:pPr>
        <w:pStyle w:val="Heading3"/>
      </w:pPr>
      <w:r>
        <w:t xml:space="preserve">4.4. Use Phase Inputs (Scope 3 - Downstream)</w:t>
      </w:r>
    </w:p>
    <w:p>
      <w:pPr>
        <w:pStyle w:val="FirstParagraph"/>
      </w:pPr>
      <w:r>
        <w:t xml:space="preserve">The \'Use Phase\' calculation uses specific durability and consumption data:</w:t>
      </w:r>
    </w:p>
    <w:p>
      <w:pPr>
        <w:numPr>
          <w:ilvl w:val="0"/>
          <w:numId w:val="1008"/>
        </w:numPr>
        <w:pStyle w:val="Compact"/>
      </w:pPr>
      <w:r>
        <w:rPr>
          <w:bCs/>
          <w:b/>
        </w:rPr>
        <w:t xml:space="preserve">Product Lifespan:</w:t>
      </w:r>
      <w:r>
        <w:t xml:space="preserve"> </w:t>
      </w:r>
      <w:r>
        <w:t xml:space="preserve">ltwtdhvzqm (e.g., 5 years)</w:t>
      </w:r>
    </w:p>
    <w:p>
      <w:pPr>
        <w:numPr>
          <w:ilvl w:val="0"/>
          <w:numId w:val="1008"/>
        </w:numPr>
        <w:pStyle w:val="Compact"/>
      </w:pPr>
      <w:r>
        <w:rPr>
          <w:bCs/>
          <w:b/>
        </w:rPr>
        <w:t xml:space="preserve">Energy Consumption in Use:</w:t>
      </w:r>
      <w:r>
        <w:t xml:space="preserve"> </w:t>
      </w:r>
      <w:r>
        <w:t xml:space="preserve">ztpxtmeeuu (e.g., 10 kWh/year)</w:t>
      </w:r>
    </w:p>
    <w:p>
      <w:pPr>
        <w:pStyle w:val="FirstParagraph"/>
      </w:pPr>
      <w:r>
        <w:t xml:space="preserve">Assuming the average grid electricity mix in Europe (as the supply chain focus is Europe, implying usage there) with an emission factor of 0.25 kg CO2e/kWh.</w:t>
      </w:r>
    </w:p>
    <w:bookmarkEnd w:id="35"/>
    <w:bookmarkStart w:id="36" w:name="X2449e76f36fce2c9fec3c701a472f020b80894d"/>
    <w:p>
      <w:pPr>
        <w:pStyle w:val="Heading3"/>
      </w:pPr>
      <w:r>
        <w:t xml:space="preserve">4.5. End-of-Life (EoL) Scenarios (Scope 3 - Downstream)</w:t>
      </w:r>
    </w:p>
    <w:p>
      <w:pPr>
        <w:pStyle w:val="FirstParagraph"/>
      </w:pPr>
      <w:r>
        <w:t xml:space="preserve">EoL scenarios reflect circular economy impacts:</w:t>
      </w:r>
    </w:p>
    <w:p>
      <w:pPr>
        <w:numPr>
          <w:ilvl w:val="0"/>
          <w:numId w:val="1009"/>
        </w:numPr>
        <w:pStyle w:val="Compact"/>
      </w:pPr>
      <w:r>
        <w:rPr>
          <w:bCs/>
          <w:b/>
        </w:rPr>
        <w:t xml:space="preserve">Recyclability Percentage:</w:t>
      </w:r>
      <w:r>
        <w:t xml:space="preserve"> </w:t>
      </w:r>
      <w:r>
        <w:t xml:space="preserve">gxoltxvovg (e.g., 75%)</w:t>
      </w:r>
    </w:p>
    <w:p>
      <w:pPr>
        <w:numPr>
          <w:ilvl w:val="0"/>
          <w:numId w:val="1009"/>
        </w:numPr>
        <w:pStyle w:val="Compact"/>
      </w:pPr>
      <w:r>
        <w:rPr>
          <w:bCs/>
          <w:b/>
        </w:rPr>
        <w:t xml:space="preserve">Circular/Take-back Programs:</w:t>
      </w:r>
      <w:r>
        <w:t xml:space="preserve"> </w:t>
      </w:r>
      <w:r>
        <w:t xml:space="preserve">julhvhkilt (e.g., Yes, through certified partner networks providing material recovery.)</w:t>
      </w:r>
    </w:p>
    <w:p>
      <w:pPr>
        <w:pStyle w:val="FirstParagraph"/>
      </w:pPr>
      <w:r>
        <w:t xml:space="preserve">A landfill emission factor of 0.2 kg CO2e/kg (for non-recyclable parts) and avoided emissions credits for recycled materials (e.g., -1.5 kg CO2e/kg for metals if recycled) will be applied.</w:t>
      </w:r>
    </w:p>
    <w:p>
      <w:r>
        <w:pict>
          <v:rect style="width:0;height:1.5pt" o:hralign="center" o:hrstd="t" o:hr="t"/>
        </w:pict>
      </w:r>
    </w:p>
    <w:bookmarkEnd w:id="36"/>
    <w:bookmarkStart w:id="37" w:name="emission-calculation-step-4"/>
    <w:p>
      <w:pPr>
        <w:pStyle w:val="Heading2"/>
      </w:pPr>
      <w:r>
        <w:t xml:space="preserve">5. Emission Calculation (Step 4)</w:t>
      </w:r>
    </w:p>
    <w:bookmarkEnd w:id="37"/>
    <w:p>
      <w:pPr>
        <w:pStyle w:val="FirstParagraph"/>
      </w:pPr>
      <w:r>
        <w:t xml:space="preserve">This section details the calculation of emissions categorized by GHG Protocol scopes.</w:t>
      </w:r>
    </w:p>
    <w:bookmarkStart w:id="40" w:name="X36b750397d887a058a2ea867d5768bbc6b182fe"/>
    <w:p>
      <w:pPr>
        <w:pStyle w:val="Heading3"/>
      </w:pPr>
      <w:r>
        <w:t xml:space="preserve">5.1. Scope 3: Upstream Emissions (Cradle-to-Gate components)</w:t>
      </w:r>
    </w:p>
    <w:bookmarkStart w:id="38" w:name="material-acquisition-pre-processing"/>
    <w:p>
      <w:pPr>
        <w:pStyle w:val="Heading4"/>
      </w:pPr>
      <w:r>
        <w:t xml:space="preserve">5.1.1. Material Acquisition &amp; Pre-processing</w:t>
      </w:r>
    </w:p>
    <w:p>
      <w:pPr>
        <w:pStyle w:val="FirstParagraph"/>
      </w:pPr>
      <w:r>
        <w:t xml:space="preserve">Based on the Detailed Bill of Materials (BOM) provided, the total emissions from material production are: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Component Category</w:t>
            </w:r>
          </w:p>
        </w:tc>
        <w:tc>
          <w:tcPr/>
          <w:p>
            <w:pPr>
              <w:pStyle w:val="Compact"/>
              <w:jc w:val="left"/>
            </w:pPr>
            <w:r>
              <w:t xml:space="preserve">Total Carbon (kg CO2e)</w:t>
            </w:r>
          </w:p>
        </w:tc>
      </w:tr>
      <w:tr>
        <w:tc>
          <w:tcPr/>
          <w:p>
            <w:pPr>
              <w:pStyle w:val="Compact"/>
              <w:jc w:val="left"/>
            </w:pPr>
            <w:r>
              <w:t xml:space="preserve">Metals (Aluminum, Copper)</w:t>
            </w:r>
          </w:p>
        </w:tc>
        <w:tc>
          <w:tcPr/>
          <w:p>
            <w:pPr>
              <w:pStyle w:val="Compact"/>
              <w:jc w:val="left"/>
            </w:pPr>
            <w:r>
              <w:t xml:space="preserve">5.4</w:t>
            </w:r>
          </w:p>
        </w:tc>
      </w:tr>
      <w:tr>
        <w:tc>
          <w:tcPr/>
          <w:p>
            <w:pPr>
              <w:pStyle w:val="Compact"/>
              <w:jc w:val="left"/>
            </w:pPr>
            <w:r>
              <w:t xml:space="preserve">Plastics (ABS)</w:t>
            </w:r>
          </w:p>
        </w:tc>
        <w:tc>
          <w:tcPr/>
          <w:p>
            <w:pPr>
              <w:pStyle w:val="Compact"/>
              <w:jc w:val="left"/>
            </w:pPr>
            <w:r>
              <w:t xml:space="preserve">0.7</w:t>
            </w:r>
          </w:p>
        </w:tc>
      </w:tr>
      <w:tr>
        <w:tc>
          <w:tcPr/>
          <w:p>
            <w:pPr>
              <w:pStyle w:val="Compact"/>
              <w:jc w:val="left"/>
            </w:pPr>
            <w:r>
              <w:t xml:space="preserve">Electronics (PCB, Silicon)</w:t>
            </w:r>
          </w:p>
        </w:tc>
        <w:tc>
          <w:tcPr/>
          <w:p>
            <w:pPr>
              <w:pStyle w:val="Compact"/>
              <w:jc w:val="left"/>
            </w:pPr>
            <w:r>
              <w:t xml:space="preserve">4.0</w:t>
            </w:r>
          </w:p>
        </w:tc>
      </w:tr>
      <w:tr>
        <w:tc>
          <w:tcPr/>
          <w:p>
            <w:pPr>
              <w:pStyle w:val="Compact"/>
              <w:jc w:val="left"/>
            </w:pPr>
            <w:r>
              <w:t xml:space="preserve">Battery (Lithium-ion)</w:t>
            </w:r>
          </w:p>
        </w:tc>
        <w:tc>
          <w:tcPr/>
          <w:p>
            <w:pPr>
              <w:pStyle w:val="Compact"/>
              <w:jc w:val="left"/>
            </w:pPr>
            <w:r>
              <w:t xml:space="preserve">2.25</w:t>
            </w:r>
          </w:p>
        </w:tc>
      </w:tr>
      <w:tr>
        <w:tc>
          <w:tcPr/>
          <w:p>
            <w:pPr>
              <w:pStyle w:val="Compact"/>
              <w:jc w:val="left"/>
            </w:pPr>
            <w:r>
              <w:t xml:space="preserve">Packaging (Cardboard)</w:t>
            </w:r>
          </w:p>
        </w:tc>
        <w:tc>
          <w:tcPr/>
          <w:p>
            <w:pPr>
              <w:pStyle w:val="Compact"/>
              <w:jc w:val="left"/>
            </w:pPr>
            <w:r>
              <w:t xml:space="preserve">0.05</w:t>
            </w:r>
          </w:p>
        </w:tc>
      </w:tr>
      <w:tr>
        <w:tc>
          <w:tcPr/>
          <w:p>
            <w:pPr>
              <w:pStyle w:val="Compact"/>
              <w:jc w:val="left"/>
            </w:pPr>
            <w:r>
              <w:rPr>
                <w:bCs/>
                <w:b/>
              </w:rPr>
              <w:t xml:space="preserve">Subtotal Material Footprint</w:t>
            </w:r>
          </w:p>
        </w:tc>
        <w:tc>
          <w:tcPr/>
          <w:p>
            <w:pPr>
              <w:pStyle w:val="Compact"/>
              <w:jc w:val="left"/>
            </w:pPr>
            <w:r>
              <w:rPr>
                <w:bCs/>
                <w:b/>
              </w:rPr>
              <w:t xml:space="preserve">12.4 kg CO2e</w:t>
            </w:r>
          </w:p>
        </w:tc>
      </w:tr>
    </w:tbl>
    <w:bookmarkEnd w:id="38"/>
    <w:bookmarkStart w:id="39" w:name="X91054ad73ef81a2fed7287222e64b6867491ea4"/>
    <w:p>
      <w:pPr>
        <w:pStyle w:val="Heading4"/>
      </w:pPr>
      <w:r>
        <w:t xml:space="preserve">5.1.2. Upstream Transportation (Inbound Logistics)</w:t>
      </w:r>
    </w:p>
    <w:p>
      <w:pPr>
        <w:pStyle w:val="FirstParagraph"/>
      </w:pPr>
      <w:r>
        <w:t xml:space="preserve">Assuming an average product weight of 0.8 kg/unit and component sourcing within the European supply chain focus before final production in China.</w:t>
      </w:r>
    </w:p>
    <w:p>
      <w:pPr>
        <w:numPr>
          <w:ilvl w:val="0"/>
          <w:numId w:val="1010"/>
        </w:numPr>
        <w:pStyle w:val="Compact"/>
      </w:pPr>
      <w:r>
        <w:t xml:space="preserve">Assumed Weight of Raw Materials per unit: 0.8 kg</w:t>
      </w:r>
    </w:p>
    <w:p>
      <w:pPr>
        <w:numPr>
          <w:ilvl w:val="0"/>
          <w:numId w:val="1010"/>
        </w:numPr>
        <w:pStyle w:val="Compact"/>
      </w:pPr>
      <w:r>
        <w:t xml:space="preserve">Transport Distance (`klpzmqqlhx`): 2000 km (e.g., average inbound journey to China from Europe)</w:t>
      </w:r>
    </w:p>
    <w:p>
      <w:pPr>
        <w:numPr>
          <w:ilvl w:val="0"/>
          <w:numId w:val="1010"/>
        </w:numPr>
        <w:pStyle w:val="Compact"/>
      </w:pPr>
      <w:r>
        <w:t xml:space="preserve">Transport Mode: Road freight - Heavy goods vehicle (average)</w:t>
      </w:r>
    </w:p>
    <w:p>
      <w:pPr>
        <w:numPr>
          <w:ilvl w:val="0"/>
          <w:numId w:val="1010"/>
        </w:numPr>
        <w:pStyle w:val="Compact"/>
      </w:pPr>
      <w:r>
        <w:t xml:space="preserve">Emission Factor (Road freight, &gt;16t): 0.08 kg CO2e/tkm</w:t>
      </w:r>
    </w:p>
    <w:p>
      <w:pPr>
        <w:numPr>
          <w:ilvl w:val="0"/>
          <w:numId w:val="1010"/>
        </w:numPr>
        <w:pStyle w:val="Compact"/>
      </w:pPr>
      <w:r>
        <w:t xml:space="preserve">Calculation: (0.8 kg / 1000 kg/ton) * 2000 km * 0.08 kg CO2e/tkm = 0.128 kg CO2e</w:t>
      </w:r>
    </w:p>
    <w:p>
      <w:pPr>
        <w:pStyle w:val="FirstParagraph"/>
      </w:pPr>
      <w:r>
        <w:rPr>
          <w:bCs/>
          <w:b/>
        </w:rPr>
        <w:t xml:space="preserve">Total Upstream Transport Emissions: 0.128 kg CO2e</w:t>
      </w:r>
    </w:p>
    <w:bookmarkEnd w:id="39"/>
    <w:bookmarkEnd w:id="40"/>
    <w:bookmarkStart w:id="41" w:name="X8030d8f222255864dc5756b5dedfb10cc8f5297"/>
    <w:p>
      <w:pPr>
        <w:pStyle w:val="Heading3"/>
      </w:pPr>
      <w:r>
        <w:t xml:space="preserve">5.2. Scope 1 &amp; 2: Manufacturing Emissions (Factory Gate)</w:t>
      </w:r>
    </w:p>
    <w:p>
      <w:pPr>
        <w:pStyle w:val="FirstParagraph"/>
      </w:pPr>
      <w:r>
        <w:t xml:space="preserve">Emissions from energy consumed during the manufacturing of emeuqrupeu.</w:t>
      </w:r>
    </w:p>
    <w:p>
      <w:pPr>
        <w:numPr>
          <w:ilvl w:val="0"/>
          <w:numId w:val="1011"/>
        </w:numPr>
        <w:pStyle w:val="Compact"/>
      </w:pPr>
      <w:r>
        <w:t xml:space="preserve">Energy Intensity (`uknoitfyfx`): 20 kWh/unit</w:t>
      </w:r>
    </w:p>
    <w:p>
      <w:pPr>
        <w:numPr>
          <w:ilvl w:val="0"/>
          <w:numId w:val="1011"/>
        </w:numPr>
        <w:pStyle w:val="Compact"/>
      </w:pPr>
      <w:r>
        <w:t xml:space="preserve">Renewable Energy Usage (`hqeilydlpo`): 70%</w:t>
      </w:r>
    </w:p>
    <w:p>
      <w:pPr>
        <w:numPr>
          <w:ilvl w:val="0"/>
          <w:numId w:val="1011"/>
        </w:numPr>
        <w:pStyle w:val="Compact"/>
      </w:pPr>
      <w:r>
        <w:t xml:space="preserve">Non-renewable energy: 20 kWh/unit * (1 - 0.70) = 6 kWh/unit</w:t>
      </w:r>
    </w:p>
    <w:p>
      <w:pPr>
        <w:numPr>
          <w:ilvl w:val="0"/>
          <w:numId w:val="1011"/>
        </w:numPr>
        <w:pStyle w:val="Compact"/>
      </w:pPr>
      <w:r>
        <w:t xml:space="preserve">Emission Factor (China grid electricity): 0.6 kg CO2e/kWh</w:t>
      </w:r>
    </w:p>
    <w:p>
      <w:pPr>
        <w:pStyle w:val="FirstParagraph"/>
      </w:pPr>
      <w:r>
        <w:rPr>
          <w:bCs/>
          <w:b/>
        </w:rPr>
        <w:t xml:space="preserve">Scope 2 Emissions:</w:t>
      </w:r>
      <w:r>
        <w:t xml:space="preserve"> </w:t>
      </w:r>
      <w:r>
        <w:t xml:space="preserve">6 kWh/unit * 0.6 kg CO2e/kWh = **3.6 kg CO2e**</w:t>
      </w:r>
    </w:p>
    <w:p>
      <w:pPr>
        <w:pStyle w:val="BodyText"/>
      </w:pPr>
      <w:r>
        <w:rPr>
          <w:iCs/>
          <w:i/>
        </w:rPr>
        <w:t xml:space="preserve">Note: Assuming no significant Scope 1 direct fossil fuel combustion for simplicity, all purchased energy is Scope 2.</w:t>
      </w:r>
    </w:p>
    <w:bookmarkEnd w:id="41"/>
    <w:bookmarkStart w:id="45" w:name="scope-3-downstream-emissions"/>
    <w:p>
      <w:pPr>
        <w:pStyle w:val="Heading3"/>
      </w:pPr>
      <w:r>
        <w:t xml:space="preserve">5.3. Scope 3: Downstream Emissions</w:t>
      </w:r>
    </w:p>
    <w:bookmarkStart w:id="42" w:name="X2723dd5a1728444d1214185569402185b3f3a0b"/>
    <w:p>
      <w:pPr>
        <w:pStyle w:val="Heading4"/>
      </w:pPr>
      <w:r>
        <w:t xml:space="preserve">5.3.1. Downstream Transportation (Outbound Logistics &amp; Last-Mile Delivery)</w:t>
      </w:r>
    </w:p>
    <w:p>
      <w:pPr>
        <w:pStyle w:val="FirstParagraph"/>
      </w:pPr>
      <w:r>
        <w:t xml:space="preserve">Transport from factory in China to end-user in Europe.</w:t>
      </w:r>
    </w:p>
    <w:p>
      <w:pPr>
        <w:numPr>
          <w:ilvl w:val="0"/>
          <w:numId w:val="1012"/>
        </w:numPr>
        <w:pStyle w:val="Compact"/>
      </w:pPr>
      <w:r>
        <w:t xml:space="preserve">Product Weight: 0.8 kg/unit</w:t>
      </w:r>
    </w:p>
    <w:p>
      <w:pPr>
        <w:numPr>
          <w:ilvl w:val="0"/>
          <w:numId w:val="1012"/>
        </w:numPr>
        <w:pStyle w:val="Compact"/>
      </w:pPr>
      <w:r>
        <w:t xml:space="preserve">Primary Transport Distance (e.g., Ocean Freight China to Europe): 15,000 km (default estimate)</w:t>
      </w:r>
    </w:p>
    <w:p>
      <w:pPr>
        <w:numPr>
          <w:ilvl w:val="0"/>
          <w:numId w:val="1012"/>
        </w:numPr>
        <w:pStyle w:val="Compact"/>
      </w:pPr>
      <w:r>
        <w:t xml:space="preserve">Emission Factor (Ocean freight, container ship): 0.01 kg CO2e/tkm</w:t>
      </w:r>
    </w:p>
    <w:p>
      <w:pPr>
        <w:numPr>
          <w:ilvl w:val="0"/>
          <w:numId w:val="1012"/>
        </w:numPr>
        <w:pStyle w:val="Compact"/>
      </w:pPr>
      <w:r>
        <w:t xml:space="preserve">Last-Mile Delivery Distance (e.g., within Europe): 50 km</w:t>
      </w:r>
    </w:p>
    <w:p>
      <w:pPr>
        <w:numPr>
          <w:ilvl w:val="0"/>
          <w:numId w:val="1012"/>
        </w:numPr>
        <w:pStyle w:val="Compact"/>
      </w:pPr>
      <w:r>
        <w:t xml:space="preserve">Last-Mile Delivery Channel (`Delivery Type`): Van Delivery</w:t>
      </w:r>
    </w:p>
    <w:p>
      <w:pPr>
        <w:numPr>
          <w:ilvl w:val="0"/>
          <w:numId w:val="1012"/>
        </w:numPr>
        <w:pStyle w:val="Compact"/>
      </w:pPr>
      <w:r>
        <w:t xml:space="preserve">Emission Factor (Van delivery): 0.2 kg CO2e/tkm (simplified estimate)</w:t>
      </w:r>
    </w:p>
    <w:p>
      <w:pPr>
        <w:pStyle w:val="FirstParagraph"/>
      </w:pPr>
      <w:r>
        <w:rPr>
          <w:bCs/>
          <w:b/>
        </w:rPr>
        <w:t xml:space="preserve">Ocean Freight Emissions:</w:t>
      </w:r>
      <w:r>
        <w:t xml:space="preserve"> </w:t>
      </w:r>
      <w:r>
        <w:t xml:space="preserve">(0.8 kg / 1000 kg/ton) * 15000 km * 0.01 kg CO2e/tkm = 0.12 kg CO2e</w:t>
      </w:r>
    </w:p>
    <w:p>
      <w:pPr>
        <w:pStyle w:val="BodyText"/>
      </w:pPr>
      <w:r>
        <w:rPr>
          <w:bCs/>
          <w:b/>
        </w:rPr>
        <w:t xml:space="preserve">Last-Mile Delivery Emissions:</w:t>
      </w:r>
      <w:r>
        <w:t xml:space="preserve"> </w:t>
      </w:r>
      <w:r>
        <w:t xml:space="preserve">(0.8 kg / 1000 kg/ton) * 50 km * 0.2 kg CO2e/tkm = 0.008 kg CO2e</w:t>
      </w:r>
    </w:p>
    <w:p>
      <w:pPr>
        <w:pStyle w:val="BodyText"/>
      </w:pPr>
      <w:r>
        <w:rPr>
          <w:bCs/>
          <w:b/>
        </w:rPr>
        <w:t xml:space="preserve">Total Downstream Transport Emissions: 0.128 kg CO2e</w:t>
      </w:r>
    </w:p>
    <w:bookmarkEnd w:id="42"/>
    <w:bookmarkStart w:id="43" w:name="use-phase-emissions"/>
    <w:p>
      <w:pPr>
        <w:pStyle w:val="Heading4"/>
      </w:pPr>
      <w:r>
        <w:t xml:space="preserve">5.3.2. Use Phase Emissions</w:t>
      </w:r>
    </w:p>
    <w:p>
      <w:pPr>
        <w:pStyle w:val="FirstParagraph"/>
      </w:pPr>
      <w:r>
        <w:t xml:space="preserve">Emissions from energy consumption during the product\'s lifespan.</w:t>
      </w:r>
    </w:p>
    <w:p>
      <w:pPr>
        <w:numPr>
          <w:ilvl w:val="0"/>
          <w:numId w:val="1013"/>
        </w:numPr>
        <w:pStyle w:val="Compact"/>
      </w:pPr>
      <w:r>
        <w:t xml:space="preserve">Product Lifespan (`ltwtdhvzqm`): 5 years</w:t>
      </w:r>
    </w:p>
    <w:p>
      <w:pPr>
        <w:numPr>
          <w:ilvl w:val="0"/>
          <w:numId w:val="1013"/>
        </w:numPr>
        <w:pStyle w:val="Compact"/>
      </w:pPr>
      <w:r>
        <w:t xml:space="preserve">Energy Consumption in Use (`ztpxtmeeuu`): 10 kWh/year</w:t>
      </w:r>
    </w:p>
    <w:p>
      <w:pPr>
        <w:numPr>
          <w:ilvl w:val="0"/>
          <w:numId w:val="1013"/>
        </w:numPr>
        <w:pStyle w:val="Compact"/>
      </w:pPr>
      <w:r>
        <w:t xml:space="preserve">Total Energy Consumption: 5 years * 10 kWh/year = 50 kWh</w:t>
      </w:r>
    </w:p>
    <w:p>
      <w:pPr>
        <w:numPr>
          <w:ilvl w:val="0"/>
          <w:numId w:val="1013"/>
        </w:numPr>
        <w:pStyle w:val="Compact"/>
      </w:pPr>
      <w:r>
        <w:t xml:space="preserve">Emission Factor (European average grid electricity): 0.25 kg CO2e/kWh</w:t>
      </w:r>
    </w:p>
    <w:p>
      <w:pPr>
        <w:pStyle w:val="FirstParagraph"/>
      </w:pPr>
      <w:r>
        <w:rPr>
          <w:bCs/>
          <w:b/>
        </w:rPr>
        <w:t xml:space="preserve">Total Use Phase Emissions:</w:t>
      </w:r>
      <w:r>
        <w:t xml:space="preserve"> </w:t>
      </w:r>
      <w:r>
        <w:t xml:space="preserve">50 kWh * 0.25 kg CO2e/kWh = **12.5 kg CO2e**</w:t>
      </w:r>
    </w:p>
    <w:bookmarkEnd w:id="43"/>
    <w:bookmarkStart w:id="44" w:name="end-of-life-eol-emissions-credits"/>
    <w:p>
      <w:pPr>
        <w:pStyle w:val="Heading4"/>
      </w:pPr>
      <w:r>
        <w:t xml:space="preserve">5.3.3. End-of-Life (EoL) Emissions &amp; Credits</w:t>
      </w:r>
    </w:p>
    <w:p>
      <w:pPr>
        <w:pStyle w:val="FirstParagraph"/>
      </w:pPr>
      <w:r>
        <w:t xml:space="preserve">Considering recyclability and circular programs.</w:t>
      </w:r>
    </w:p>
    <w:p>
      <w:pPr>
        <w:numPr>
          <w:ilvl w:val="0"/>
          <w:numId w:val="1014"/>
        </w:numPr>
        <w:pStyle w:val="Compact"/>
      </w:pPr>
      <w:r>
        <w:t xml:space="preserve">Product Weight: 0.8 kg/unit</w:t>
      </w:r>
    </w:p>
    <w:p>
      <w:pPr>
        <w:numPr>
          <w:ilvl w:val="0"/>
          <w:numId w:val="1014"/>
        </w:numPr>
        <w:pStyle w:val="Compact"/>
      </w:pPr>
      <w:r>
        <w:t xml:space="preserve">Recyclability Percentage (`gxoltxvovg`): 75%</w:t>
      </w:r>
    </w:p>
    <w:p>
      <w:pPr>
        <w:numPr>
          <w:ilvl w:val="0"/>
          <w:numId w:val="1014"/>
        </w:numPr>
        <w:pStyle w:val="Compact"/>
      </w:pPr>
      <w:r>
        <w:t xml:space="preserve">Non-recyclable portion: 0.8 kg * (1 - 0.75) = 0.2 kg</w:t>
      </w:r>
    </w:p>
    <w:p>
      <w:pPr>
        <w:numPr>
          <w:ilvl w:val="0"/>
          <w:numId w:val="1014"/>
        </w:numPr>
        <w:pStyle w:val="Compact"/>
      </w:pPr>
      <w:r>
        <w:t xml:space="preserve">Landfill Emission Factor: 0.2 kg CO2e/kg (for non-recyclable waste)</w:t>
      </w:r>
    </w:p>
    <w:p>
      <w:pPr>
        <w:numPr>
          <w:ilvl w:val="0"/>
          <w:numId w:val="1014"/>
        </w:numPr>
        <w:pStyle w:val="Compact"/>
      </w:pPr>
      <w:r>
        <w:t xml:space="preserve">Avoided Emissions for Recycling: Assuming a credit of -1.5 kg CO2e/kg for recycled materials (e.g., metals and plastics).</w:t>
      </w:r>
    </w:p>
    <w:p>
      <w:pPr>
        <w:numPr>
          <w:ilvl w:val="0"/>
          <w:numId w:val="1014"/>
        </w:numPr>
        <w:pStyle w:val="Compact"/>
      </w:pPr>
      <w:r>
        <w:t xml:space="preserve">Recycled Material Weight (assumed for credit): 0.8 kg * 0.75 = 0.6 kg (considering mixed materials)</w:t>
      </w:r>
    </w:p>
    <w:p>
      <w:pPr>
        <w:pStyle w:val="FirstParagraph"/>
      </w:pPr>
      <w:r>
        <w:rPr>
          <w:bCs/>
          <w:b/>
        </w:rPr>
        <w:t xml:space="preserve">EoL Landfill Emissions:</w:t>
      </w:r>
      <w:r>
        <w:t xml:space="preserve"> </w:t>
      </w:r>
      <w:r>
        <w:t xml:space="preserve">0.2 kg * 0.2 kg CO2e/kg = 0.04 kg CO2e</w:t>
      </w:r>
    </w:p>
    <w:p>
      <w:pPr>
        <w:pStyle w:val="BodyText"/>
      </w:pPr>
      <w:r>
        <w:rPr>
          <w:bCs/>
          <w:b/>
        </w:rPr>
        <w:t xml:space="preserve">EoL Recycling Credits:</w:t>
      </w:r>
      <w:r>
        <w:t xml:space="preserve"> </w:t>
      </w:r>
      <w:r>
        <w:t xml:space="preserve">0.6 kg * -1.5 kg CO2e/kg = -0.9 kg CO2e</w:t>
      </w:r>
    </w:p>
    <w:p>
      <w:pPr>
        <w:pStyle w:val="BodyText"/>
      </w:pPr>
      <w:r>
        <w:rPr>
          <w:bCs/>
          <w:b/>
        </w:rPr>
        <w:t xml:space="preserve">Total End-of-Life (Net) Emissions: -0.86 kg CO2e</w:t>
      </w:r>
    </w:p>
    <w:p>
      <w:pPr>
        <w:pStyle w:val="BodyText"/>
      </w:pPr>
      <w:r>
        <w:t xml:space="preserve">Circular/Take-back Programs (`julhvhkilt`): Yes, through certified partner networks. This program supports the high recyclability rate and facilitates material recovery, contributing to the negative net EoL emissions.</w:t>
      </w:r>
    </w:p>
    <w:bookmarkEnd w:id="44"/>
    <w:bookmarkEnd w:id="45"/>
    <w:bookmarkStart w:id="46" w:name="X983400b1611763ace23cf527f3a7c029bf671fc"/>
    <w:p>
      <w:pPr>
        <w:pStyle w:val="Heading3"/>
      </w:pPr>
      <w:r>
        <w:t xml:space="preserve">5.4. Total Product Carbon Footprint (PCF) for emeuqrupeu</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Lifecycle Stage / GHG Scope</w:t>
            </w:r>
          </w:p>
        </w:tc>
        <w:tc>
          <w:tcPr/>
          <w:p>
            <w:pPr>
              <w:pStyle w:val="Compact"/>
              <w:jc w:val="left"/>
            </w:pPr>
            <w:r>
              <w:t xml:space="preserve">Emissions (kg CO2e)</w:t>
            </w:r>
          </w:p>
        </w:tc>
      </w:tr>
      <w:tr>
        <w:tc>
          <w:tcPr/>
          <w:p>
            <w:pPr>
              <w:pStyle w:val="Compact"/>
              <w:jc w:val="left"/>
            </w:pPr>
            <w:r>
              <w:rPr>
                <w:bCs/>
                <w:b/>
              </w:rPr>
              <w:t xml:space="preserve">Scope 3 Upstream:</w:t>
            </w:r>
          </w:p>
        </w:tc>
        <w:tc>
          <w:tcPr/>
          <w:p>
            <w:pPr>
              <w:pStyle w:val="Compact"/>
            </w:pPr>
          </w:p>
        </w:tc>
      </w:tr>
      <w:tr>
        <w:tc>
          <w:tcPr/>
          <w:p>
            <w:pPr>
              <w:pStyle w:val="Compact"/>
              <w:jc w:val="left"/>
            </w:pPr>
            <w:r>
              <w:t xml:space="preserve">Material Acquisition &amp; Pre-processing</w:t>
            </w:r>
          </w:p>
        </w:tc>
        <w:tc>
          <w:tcPr/>
          <w:p>
            <w:pPr>
              <w:pStyle w:val="Compact"/>
              <w:jc w:val="left"/>
            </w:pPr>
            <w:r>
              <w:t xml:space="preserve">12.4</w:t>
            </w:r>
          </w:p>
        </w:tc>
      </w:tr>
      <w:tr>
        <w:tc>
          <w:tcPr/>
          <w:p>
            <w:pPr>
              <w:pStyle w:val="Compact"/>
              <w:jc w:val="left"/>
            </w:pPr>
            <w:r>
              <w:t xml:space="preserve">Upstream Transportation</w:t>
            </w:r>
          </w:p>
        </w:tc>
        <w:tc>
          <w:tcPr/>
          <w:p>
            <w:pPr>
              <w:pStyle w:val="Compact"/>
              <w:jc w:val="left"/>
            </w:pPr>
            <w:r>
              <w:t xml:space="preserve">0.128</w:t>
            </w:r>
          </w:p>
        </w:tc>
      </w:tr>
      <w:tr>
        <w:tc>
          <w:tcPr/>
          <w:p>
            <w:pPr>
              <w:pStyle w:val="Compact"/>
              <w:jc w:val="left"/>
            </w:pPr>
            <w:r>
              <w:rPr>
                <w:bCs/>
                <w:b/>
              </w:rPr>
              <w:t xml:space="preserve">Scope 1 &amp; 2:</w:t>
            </w:r>
          </w:p>
        </w:tc>
        <w:tc>
          <w:tcPr/>
          <w:p>
            <w:pPr>
              <w:pStyle w:val="Compact"/>
            </w:pPr>
          </w:p>
        </w:tc>
      </w:tr>
      <w:tr>
        <w:tc>
          <w:tcPr/>
          <w:p>
            <w:pPr>
              <w:pStyle w:val="Compact"/>
              <w:jc w:val="left"/>
            </w:pPr>
            <w:r>
              <w:t xml:space="preserve">Manufacturing Energy (Scope 2)</w:t>
            </w:r>
          </w:p>
        </w:tc>
        <w:tc>
          <w:tcPr/>
          <w:p>
            <w:pPr>
              <w:pStyle w:val="Compact"/>
              <w:jc w:val="left"/>
            </w:pPr>
            <w:r>
              <w:t xml:space="preserve">3.6</w:t>
            </w:r>
          </w:p>
        </w:tc>
      </w:tr>
      <w:tr>
        <w:tc>
          <w:tcPr/>
          <w:p>
            <w:pPr>
              <w:pStyle w:val="Compact"/>
              <w:jc w:val="left"/>
            </w:pPr>
            <w:r>
              <w:rPr>
                <w:bCs/>
                <w:b/>
              </w:rPr>
              <w:t xml:space="preserve">Scope 3 Downstream:</w:t>
            </w:r>
          </w:p>
        </w:tc>
        <w:tc>
          <w:tcPr/>
          <w:p>
            <w:pPr>
              <w:pStyle w:val="Compact"/>
            </w:pPr>
          </w:p>
        </w:tc>
      </w:tr>
      <w:tr>
        <w:tc>
          <w:tcPr/>
          <w:p>
            <w:pPr>
              <w:pStyle w:val="Compact"/>
              <w:jc w:val="left"/>
            </w:pPr>
            <w:r>
              <w:t xml:space="preserve">Downstream Transportation</w:t>
            </w:r>
          </w:p>
        </w:tc>
        <w:tc>
          <w:tcPr/>
          <w:p>
            <w:pPr>
              <w:pStyle w:val="Compact"/>
              <w:jc w:val="left"/>
            </w:pPr>
            <w:r>
              <w:t xml:space="preserve">0.128</w:t>
            </w:r>
          </w:p>
        </w:tc>
      </w:tr>
      <w:tr>
        <w:tc>
          <w:tcPr/>
          <w:p>
            <w:pPr>
              <w:pStyle w:val="Compact"/>
              <w:jc w:val="left"/>
            </w:pPr>
            <w:r>
              <w:t xml:space="preserve">Use Phase</w:t>
            </w:r>
          </w:p>
        </w:tc>
        <w:tc>
          <w:tcPr/>
          <w:p>
            <w:pPr>
              <w:pStyle w:val="Compact"/>
              <w:jc w:val="left"/>
            </w:pPr>
            <w:r>
              <w:t xml:space="preserve">12.5</w:t>
            </w:r>
          </w:p>
        </w:tc>
      </w:tr>
      <w:tr>
        <w:tc>
          <w:tcPr/>
          <w:p>
            <w:pPr>
              <w:pStyle w:val="Compact"/>
              <w:jc w:val="left"/>
            </w:pPr>
            <w:r>
              <w:t xml:space="preserve">End-of-Life (Net)</w:t>
            </w:r>
          </w:p>
        </w:tc>
        <w:tc>
          <w:tcPr/>
          <w:p>
            <w:pPr>
              <w:pStyle w:val="Compact"/>
              <w:jc w:val="left"/>
            </w:pPr>
            <w:r>
              <w:t xml:space="preserve">-0.86</w:t>
            </w:r>
          </w:p>
        </w:tc>
      </w:tr>
      <w:tr>
        <w:tc>
          <w:tcPr/>
          <w:p>
            <w:pPr>
              <w:pStyle w:val="Compact"/>
              <w:jc w:val="left"/>
            </w:pPr>
            <w:r>
              <w:rPr>
                <w:bCs/>
                <w:b/>
              </w:rPr>
              <w:t xml:space="preserve">TOTAL PRODUCT CARBON FOOTPRINT (per 1.0 unit)</w:t>
            </w:r>
          </w:p>
        </w:tc>
        <w:tc>
          <w:tcPr/>
          <w:p>
            <w:pPr>
              <w:pStyle w:val="Compact"/>
              <w:jc w:val="left"/>
            </w:pPr>
            <w:r>
              <w:rPr>
                <w:bCs/>
                <w:b/>
              </w:rPr>
              <w:t xml:space="preserve">27.9 kg CO2e</w:t>
            </w:r>
          </w:p>
        </w:tc>
      </w:tr>
    </w:tbl>
    <w:p>
      <w:pPr>
        <w:pStyle w:val="BodyText"/>
      </w:pPr>
      <w:r>
        <w:t xml:space="preserve">The total Product Carbon Footprint for one functional unit of emeuqrupeu is **27.9 kg CO2e**.</w:t>
      </w:r>
    </w:p>
    <w:p>
      <w:r>
        <w:pict>
          <v:rect style="width:0;height:1.5pt" o:hralign="center" o:hrstd="t" o:hr="t"/>
        </w:pict>
      </w:r>
    </w:p>
    <w:bookmarkEnd w:id="46"/>
    <w:bookmarkStart w:id="47" w:name="review-report-step-5"/>
    <w:p>
      <w:pPr>
        <w:pStyle w:val="Heading2"/>
      </w:pPr>
      <w:r>
        <w:t xml:space="preserve">6. Review &amp; Report (Step 5)</w:t>
      </w:r>
    </w:p>
    <w:bookmarkEnd w:id="47"/>
    <w:bookmarkStart w:id="48" w:name="emission-hotspots"/>
    <w:p>
      <w:pPr>
        <w:pStyle w:val="Heading3"/>
      </w:pPr>
      <w:r>
        <w:t xml:space="preserve">6.1. Emission Hotspots</w:t>
      </w:r>
    </w:p>
    <w:p>
      <w:pPr>
        <w:pStyle w:val="FirstParagraph"/>
      </w:pPr>
      <w:r>
        <w:t xml:space="preserve">The primary emission hotspots for emeuqrupeu are:</w:t>
      </w:r>
    </w:p>
    <w:p>
      <w:pPr>
        <w:numPr>
          <w:ilvl w:val="0"/>
          <w:numId w:val="1015"/>
        </w:numPr>
        <w:pStyle w:val="Compact"/>
      </w:pPr>
      <w:r>
        <w:rPr>
          <w:bCs/>
          <w:b/>
        </w:rPr>
        <w:t xml:space="preserve">Material Acquisition &amp; Pre-processing (12.4 kg CO2e):</w:t>
      </w:r>
      <w:r>
        <w:t xml:space="preserve"> </w:t>
      </w:r>
      <w:r>
        <w:t xml:space="preserve">This stage contributes significantly due to the high embedded carbon in materials like aluminum and silicon. Focus on using recycled content and lower-impact alternatives could yield substantial reductions.</w:t>
      </w:r>
    </w:p>
    <w:p>
      <w:pPr>
        <w:numPr>
          <w:ilvl w:val="0"/>
          <w:numId w:val="1015"/>
        </w:numPr>
        <w:pStyle w:val="Compact"/>
      </w:pPr>
      <w:r>
        <w:rPr>
          <w:bCs/>
          <w:b/>
        </w:rPr>
        <w:t xml:space="preserve">Use Phase (12.5 kg CO2e):</w:t>
      </w:r>
      <w:r>
        <w:t xml:space="preserve"> </w:t>
      </w:r>
      <w:r>
        <w:t xml:space="preserve">The product\'s energy consumption during its lifespan is a major contributor. Improving energy efficiency during operation is crucial.</w:t>
      </w:r>
    </w:p>
    <w:p>
      <w:pPr>
        <w:numPr>
          <w:ilvl w:val="0"/>
          <w:numId w:val="1015"/>
        </w:numPr>
        <w:pStyle w:val="Compact"/>
      </w:pPr>
      <w:r>
        <w:rPr>
          <w:bCs/>
          <w:b/>
        </w:rPr>
        <w:t xml:space="preserve">Manufacturing Energy (3.6 kg CO2e):</w:t>
      </w:r>
      <w:r>
        <w:t xml:space="preserve"> </w:t>
      </w:r>
      <w:r>
        <w:t xml:space="preserve">While 70% renewable energy usage (`hqeilydlpo`) helps, the remaining non-renewable energy still contributes to emissions. Further increasing renewable energy sourcing or improving manufacturing efficiency can reduce this.</w:t>
      </w:r>
    </w:p>
    <w:bookmarkEnd w:id="48"/>
    <w:bookmarkStart w:id="49" w:name="reliability-and-limitations"/>
    <w:p>
      <w:pPr>
        <w:pStyle w:val="Heading3"/>
      </w:pPr>
      <w:r>
        <w:t xml:space="preserve">6.2. Reliability and Limitations</w:t>
      </w:r>
    </w:p>
    <w:p>
      <w:pPr>
        <w:pStyle w:val="FirstParagraph"/>
      </w:pPr>
      <w:r>
        <w:t xml:space="preserve">The reliability of this report is high, given the adherence to GHG Protocol standards and the use of detailed primary data where available. However, some limitations include:</w:t>
      </w:r>
    </w:p>
    <w:p>
      <w:pPr>
        <w:numPr>
          <w:ilvl w:val="0"/>
          <w:numId w:val="1016"/>
        </w:numPr>
        <w:pStyle w:val="Compact"/>
      </w:pPr>
      <w:r>
        <w:rPr>
          <w:bCs/>
          <w:b/>
        </w:rPr>
        <w:t xml:space="preserve">Secondary Data Reliance:</w:t>
      </w:r>
      <w:r>
        <w:t xml:space="preserve"> </w:t>
      </w:r>
      <w:r>
        <w:t xml:space="preserve">Generic emission factors from industry databases were used for certain transport modes and average grid mixes, which may not perfectly reflect specific supplier or regional data.</w:t>
      </w:r>
    </w:p>
    <w:p>
      <w:pPr>
        <w:numPr>
          <w:ilvl w:val="0"/>
          <w:numId w:val="1016"/>
        </w:numPr>
        <w:pStyle w:val="Compact"/>
      </w:pPr>
      <w:r>
        <w:rPr>
          <w:bCs/>
          <w:b/>
        </w:rPr>
        <w:t xml:space="preserve">Assumptions:</w:t>
      </w:r>
      <w:r>
        <w:t xml:space="preserve"> </w:t>
      </w:r>
      <w:r>
        <w:t xml:space="preserve">Several assumptions were made regarding transport distances, product weight, and energy consumption profiles where explicit data was not provided.</w:t>
      </w:r>
    </w:p>
    <w:p>
      <w:pPr>
        <w:numPr>
          <w:ilvl w:val="0"/>
          <w:numId w:val="1016"/>
        </w:numPr>
        <w:pStyle w:val="Compact"/>
      </w:pPr>
      <w:r>
        <w:rPr>
          <w:bCs/>
          <w:b/>
        </w:rPr>
        <w:t xml:space="preserve">Dynamic Nature:</w:t>
      </w:r>
      <w:r>
        <w:t xml:space="preserve"> </w:t>
      </w:r>
      <w:r>
        <w:t xml:space="preserve">Emission factors and energy mixes are subject to change over time, impacting the long-term accuracy of this static assessment.</w:t>
      </w:r>
    </w:p>
    <w:bookmarkEnd w:id="49"/>
    <w:bookmarkStart w:id="50" w:name="recommendations-for-reduction"/>
    <w:p>
      <w:pPr>
        <w:pStyle w:val="Heading3"/>
      </w:pPr>
      <w:r>
        <w:t xml:space="preserve">6.3. Recommendations for Reduction</w:t>
      </w:r>
    </w:p>
    <w:p>
      <w:pPr>
        <w:numPr>
          <w:ilvl w:val="0"/>
          <w:numId w:val="1017"/>
        </w:numPr>
        <w:pStyle w:val="Compact"/>
      </w:pPr>
      <w:r>
        <w:rPr>
          <w:bCs/>
          <w:b/>
        </w:rPr>
        <w:t xml:space="preserve">Material Optimization:</w:t>
      </w:r>
      <w:r>
        <w:t xml:space="preserve"> </w:t>
      </w:r>
      <w:r>
        <w:t xml:space="preserve">Investigate opportunities for higher recycled content in aluminum and plastics, or explore alternative lower-carbon materials.</w:t>
      </w:r>
    </w:p>
    <w:p>
      <w:pPr>
        <w:numPr>
          <w:ilvl w:val="0"/>
          <w:numId w:val="1017"/>
        </w:numPr>
        <w:pStyle w:val="Compact"/>
      </w:pPr>
      <w:r>
        <w:rPr>
          <w:bCs/>
          <w:b/>
        </w:rPr>
        <w:t xml:space="preserve">Energy Efficiency:</w:t>
      </w:r>
      <w:r>
        <w:t xml:space="preserve"> </w:t>
      </w:r>
      <w:r>
        <w:t xml:space="preserve">Focus on product design for reduced energy consumption during the use phase.</w:t>
      </w:r>
    </w:p>
    <w:p>
      <w:pPr>
        <w:numPr>
          <w:ilvl w:val="0"/>
          <w:numId w:val="1017"/>
        </w:numPr>
        <w:pStyle w:val="Compact"/>
      </w:pPr>
      <w:r>
        <w:rPr>
          <w:bCs/>
          <w:b/>
        </w:rPr>
        <w:t xml:space="preserve">Renewable Energy Sourcing:</w:t>
      </w:r>
      <w:r>
        <w:t xml:space="preserve"> </w:t>
      </w:r>
      <w:r>
        <w:t xml:space="preserve">Continue to increase renewable energy penetration in manufacturing operations in China.</w:t>
      </w:r>
    </w:p>
    <w:p>
      <w:pPr>
        <w:numPr>
          <w:ilvl w:val="0"/>
          <w:numId w:val="1017"/>
        </w:numPr>
        <w:pStyle w:val="Compact"/>
      </w:pPr>
      <w:r>
        <w:rPr>
          <w:bCs/>
          <w:b/>
        </w:rPr>
        <w:t xml:space="preserve">Supply Chain Engagement:</w:t>
      </w:r>
      <w:r>
        <w:t xml:space="preserve"> </w:t>
      </w:r>
      <w:r>
        <w:t xml:space="preserve">Work with material suppliers and logistics providers to gather more specific, primary data for enhanced accuracy and to identify further reduction opportunities.</w:t>
      </w:r>
    </w:p>
    <w:p>
      <w:pPr>
        <w:numPr>
          <w:ilvl w:val="0"/>
          <w:numId w:val="1017"/>
        </w:numPr>
        <w:pStyle w:val="Compact"/>
      </w:pPr>
      <w:r>
        <w:rPr>
          <w:bCs/>
          <w:b/>
        </w:rPr>
        <w:t xml:space="preserve">Circular Economy Initiatives:</w:t>
      </w:r>
      <w:r>
        <w:t xml:space="preserve"> </w:t>
      </w:r>
      <w:r>
        <w:t xml:space="preserve">Expand and promote take-back programs to ensure maximum material recovery and closed-loop systems.</w:t>
      </w:r>
    </w:p>
    <w:p>
      <w:r>
        <w:pict>
          <v:rect style="width:0;height:1.5pt" o:hralign="center" o:hrstd="t" o:hr="t"/>
        </w:pict>
      </w:r>
    </w:p>
    <w:p>
      <w:pPr>
        <w:pStyle w:val="FirstParagraph"/>
      </w:pPr>
      <w:r>
        <w:t xml:space="preserve">Confidential - Internal Use Only | Page 1 of [Total Pages]</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emeuqrupeu</dc:title>
  <dc:creator/>
  <dc:description>A comprehensive Product Carbon Footprint (PCF) analysis report for emeuqrupeu, conducted by hkeymmyhtz for tgdoxetyvp, adhering to the GHG Protocol and 2026 LSR Update requirements.</dc:description>
  <dc:language>en</dc:language>
  <cp:keywords/>
  <dcterms:created xsi:type="dcterms:W3CDTF">2026-05-30T12:40:14Z</dcterms:created>
  <dcterms:modified xsi:type="dcterms:W3CDTF">2026-05-30T12:40:14Z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