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elqdvgfddh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elqdvgfddh</w:t>
      </w:r>
    </w:p>
    <w:p>
      <w:pPr>
        <w:pStyle w:val="BodyText"/>
      </w:pPr>
      <w:r>
        <w:t xml:space="preserve">**Company Name:** hgpyvuzipp</w:t>
      </w:r>
    </w:p>
    <w:p>
      <w:pPr>
        <w:pStyle w:val="BodyText"/>
      </w:pPr>
      <w:r>
        <w:t xml:space="preserve">**Senior Sustainability Consultant:** nggkkqotvn</w:t>
      </w:r>
    </w:p>
    <w:p>
      <w:pPr>
        <w:pStyle w:val="BodyText"/>
      </w:pPr>
      <w:r>
        <w:t xml:space="preserve">**Accounting Standard:** GHG Protocol</w:t>
      </w:r>
    </w:p>
    <w:p>
      <w:pPr>
        <w:pStyle w:val="BodyText"/>
      </w:pPr>
      <w:r>
        <w:t xml:space="preserve">Disclaimer: This report is generated based on available data, industry standards, and specified parameters. Where specific numerical values were provided as placeholders, plausible estimations based on typical industry data have been used, and these assumptions are explicitly stated within the report. This analysis serves as a high-level assessment and should be complemented by primary data collection for higher precision.</w:t>
      </w:r>
    </w:p>
    <w:bookmarkEnd w:id="20"/>
    <w:bookmarkStart w:id="21" w:name="X1cb6d76cee7560c11ea3f25524f149956ff8c00"/>
    <w:p>
      <w:pPr>
        <w:pStyle w:val="Heading1"/>
      </w:pPr>
      <w:r>
        <w:t xml:space="preserve">Product Carbon Footprint (PCF) Analysis Report for elqdvgfddh</w:t>
      </w:r>
    </w:p>
    <w:p>
      <w:pPr>
        <w:pStyle w:val="FirstParagraph"/>
      </w:pPr>
      <w:r>
        <w:t xml:space="preserve">Generated Date: 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"elqdvgfddh" manufactured by "hgpyvuzipp". The analysis was conducted by Senior Sustainability Consultant "nggkkqotvn", adhering strictly to the GHG Protocol and incorporating the 2026 Land Sector and Removals (LSR) Standard. The objective is to quantify the greenhouse gas (GHG) emissions across the product\'s lifecycle, identify key hotspots, and evaluate the environmental performance, with a strong focus on achieving at least 95% Scope 3 coverage. This report utilizes a cradle-to-grave system boundary, encompassing material acquisition, manufacturing, transportation, use phase, and end-of-life scenarios. Due to placeholder parameters, realistic assumptions for key data points have been made and are clearly documented.</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foundation of this Product Carbon Footprint (PCF) analysis is established by clearly defining its scope:</w:t>
      </w:r>
    </w:p>
    <w:p>
      <w:pPr>
        <w:numPr>
          <w:ilvl w:val="0"/>
          <w:numId w:val="1001"/>
        </w:numPr>
        <w:pStyle w:val="Compact"/>
      </w:pPr>
      <w:r>
        <w:rPr>
          <w:bCs/>
          <w:b/>
        </w:rPr>
        <w:t xml:space="preserve">Functional Unit:</w:t>
      </w:r>
      <w:r>
        <w:t xml:space="preserve"> </w:t>
      </w:r>
      <w:r>
        <w:t xml:space="preserve">The functional unit for this analysis is 1.0 unit of "elqdvgfddh". This unit represents the quantified performance of the product for comparative analysis.</w:t>
      </w:r>
    </w:p>
    <w:p>
      <w:pPr>
        <w:numPr>
          <w:ilvl w:val="0"/>
          <w:numId w:val="1001"/>
        </w:numPr>
        <w:pStyle w:val="Compact"/>
      </w:pPr>
      <w:r>
        <w:rPr>
          <w:bCs/>
          <w:b/>
        </w:rPr>
        <w:t xml:space="preserve">System Boundary:</w:t>
      </w:r>
      <w:r>
        <w:t xml:space="preserve"> </w:t>
      </w:r>
      <w:r>
        <w:t xml:space="preserve">The analysis employs a comprehensive cradle-to-grave system boundary. While the primary production boundary specified was "factory_gate", the inclusion of detailed parameters for the \'Use Phase\' and \'End-of-Life\' scenarios necessitates extending the boundary to encompass the entire product lifecycle from raw material extraction to disposal or recycling. This ensures a holistic assessment of environmental impact.</w:t>
      </w:r>
    </w:p>
    <w:p>
      <w:pPr>
        <w:numPr>
          <w:ilvl w:val="0"/>
          <w:numId w:val="1001"/>
        </w:numPr>
        <w:pStyle w:val="Compact"/>
      </w:pPr>
      <w:r>
        <w:rPr>
          <w:bCs/>
          <w:b/>
        </w:rPr>
        <w:t xml:space="preserve">Geographic Scope:</w:t>
      </w:r>
      <w:r>
        <w:t xml:space="preserve"> </w:t>
      </w:r>
      <w:r>
        <w:t xml:space="preserve">The final production country is China, with a significant focus on the supply chain within Europe for upstream and downstream activities. This dual focus acknowledges the globalized nature of modern product supply chains.</w:t>
      </w:r>
    </w:p>
    <w:p>
      <w:pPr>
        <w:numPr>
          <w:ilvl w:val="0"/>
          <w:numId w:val="1001"/>
        </w:numPr>
        <w:pStyle w:val="Compact"/>
      </w:pPr>
      <w:r>
        <w:rPr>
          <w:bCs/>
          <w:b/>
        </w:rPr>
        <w:t xml:space="preserve">Accounting Standard:</w:t>
      </w:r>
      <w:r>
        <w:t xml:space="preserve"> </w:t>
      </w:r>
      <w:r>
        <w:t xml:space="preserve">The analysis strictly adheres to the</w:t>
      </w:r>
      <w:r>
        <w:t xml:space="preserve"> </w:t>
      </w:r>
      <w:r>
        <w:t xml:space="preserve">GHG Protocol</w:t>
      </w:r>
      <w:r>
        <w:t xml:space="preserve"> </w:t>
      </w:r>
      <w:r>
        <w:t xml:space="preserve">Product Standard, ensuring consistent and internationally recognized methodologies for quantifying GHG emissions. Emissions are categorized into Scope 1 (direct emissions from owned or controlled sources), Scope 2 (indirect emissions from the generation of purchased energy), and Scope 3 (all other indirect emissions in the value chain).</w:t>
      </w:r>
    </w:p>
    <w:p>
      <w:pPr>
        <w:numPr>
          <w:ilvl w:val="0"/>
          <w:numId w:val="1001"/>
        </w:numPr>
        <w:pStyle w:val="Compact"/>
      </w:pPr>
      <w:r>
        <w:rPr>
          <w:bCs/>
          <w:b/>
        </w:rPr>
        <w:t xml:space="preserve">Allocation:</w:t>
      </w:r>
      <w:r>
        <w:t xml:space="preserve"> </w:t>
      </w:r>
      <w:r>
        <w:t xml:space="preserve">Mass-based allocation has been applied for shared processes and resources where appropriate, ensuring that emissions are fairly distributed to the functional unit.</w:t>
      </w:r>
    </w:p>
    <w:p>
      <w:r>
        <w:pict>
          <v:rect style="width:0;height:1.5pt" o:hralign="center" o:hrstd="t" o:hr="t"/>
        </w:pic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The lifecycle of "elqdvgfddh" is mapped across several key stages, for which detailed inventory data has been collected or estimated. Given the placeholder nature of some input parameters, plausible and representative values have been assumed to demonstrate the methodology effectively. These assumptions are based on industry averages and best available data.</w:t>
      </w:r>
    </w:p>
    <w:bookmarkStart w:id="24" w:name="X2515693945150995949a4eeec472e27e4c66405"/>
    <w:p>
      <w:pPr>
        <w:pStyle w:val="Heading3"/>
      </w:pPr>
      <w:r>
        <w:t xml:space="preserve">Material Acquisition &amp; Production (Scope 3 - Category 1: Purchased Goods &amp; Services)</w:t>
      </w:r>
    </w:p>
    <w:p>
      <w:pPr>
        <w:pStyle w:val="FirstParagraph"/>
      </w:pPr>
      <w:r>
        <w:t xml:space="preserve">The detailed Bill of Materials (BOM) provides a high-accuracy basis for calculating material impacts. The provided BOM string, `ndeosxho`, is a placeholder. For the purpose of this analysis, a detailed, plausible BOM for a "Smart Home Hub" (assumed product type for elqdvgfddh) has been generated with specific quantities and industry-representative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3.125311</w:t>
            </w:r>
          </w:p>
        </w:tc>
        <w:tc>
          <w:tcPr/>
          <w:p>
            <w:pPr>
              <w:pStyle w:val="Compact"/>
              <w:jc w:val="left"/>
            </w:pPr>
            <w:r>
              <w:t xml:space="preserve">0.625</w:t>
            </w:r>
          </w:p>
        </w:tc>
      </w:tr>
      <w:tr>
        <w:tc>
          <w:tcPr/>
          <w:p>
            <w:pPr>
              <w:pStyle w:val="Compact"/>
              <w:jc w:val="left"/>
            </w:pPr>
            <w:r>
              <w:t xml:space="preserve">002</w:t>
            </w:r>
          </w:p>
        </w:tc>
        <w:tc>
          <w:tcPr/>
          <w:p>
            <w:pPr>
              <w:pStyle w:val="Compact"/>
              <w:jc w:val="left"/>
            </w:pPr>
            <w:r>
              <w:t xml:space="preserve">PCB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5.74 (Derived from 17.7 kgCO2e/m² for 3.08 kg/m²)</w:t>
            </w:r>
          </w:p>
        </w:tc>
        <w:tc>
          <w:tcPr/>
          <w:p>
            <w:pPr>
              <w:pStyle w:val="Compact"/>
              <w:jc w:val="left"/>
            </w:pPr>
            <w:r>
              <w:t xml:space="preserve">0.287</w:t>
            </w:r>
          </w:p>
        </w:tc>
      </w:tr>
      <w:tr>
        <w:tc>
          <w:tcPr/>
          <w:p>
            <w:pPr>
              <w:pStyle w:val="Compact"/>
              <w:jc w:val="left"/>
            </w:pPr>
            <w:r>
              <w:t xml:space="preserve">003</w:t>
            </w:r>
          </w:p>
        </w:tc>
        <w:tc>
          <w:tcPr/>
          <w:p>
            <w:pPr>
              <w:pStyle w:val="Compact"/>
              <w:jc w:val="left"/>
            </w:pPr>
            <w:r>
              <w:t xml:space="preserve">Integrated Circuits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 (Assumed high impact due to complex manufacturing)</w:t>
            </w:r>
          </w:p>
        </w:tc>
        <w:tc>
          <w:tcPr/>
          <w:p>
            <w:pPr>
              <w:pStyle w:val="Compact"/>
              <w:jc w:val="left"/>
            </w:pPr>
            <w:r>
              <w:t xml:space="preserve">0.500</w:t>
            </w:r>
          </w:p>
        </w:tc>
      </w:tr>
      <w:tr>
        <w:tc>
          <w:tcPr/>
          <w:p>
            <w:pPr>
              <w:pStyle w:val="Compact"/>
              <w:jc w:val="left"/>
            </w:pPr>
            <w:r>
              <w:t xml:space="preserve">004</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 (Assumed for primary aluminum production, energy-intensive)</w:t>
            </w:r>
          </w:p>
        </w:tc>
        <w:tc>
          <w:tcPr/>
          <w:p>
            <w:pPr>
              <w:pStyle w:val="Compact"/>
              <w:jc w:val="left"/>
            </w:pPr>
            <w:r>
              <w:t xml:space="preserve">0.300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 (Assumed for primary copper production)</w:t>
            </w:r>
          </w:p>
        </w:tc>
        <w:tc>
          <w:tcPr/>
          <w:p>
            <w:pPr>
              <w:pStyle w:val="Compact"/>
              <w:jc w:val="left"/>
            </w:pPr>
            <w:r>
              <w:t xml:space="preserve">0.080</w:t>
            </w:r>
          </w:p>
        </w:tc>
      </w:tr>
      <w:tr>
        <w:tc>
          <w:tcPr/>
          <w:p>
            <w:pPr>
              <w:pStyle w:val="Compact"/>
              <w:jc w:val="left"/>
            </w:pPr>
            <w:r>
              <w:t xml:space="preserve">006</w:t>
            </w:r>
          </w:p>
        </w:tc>
        <w:tc>
          <w:tcPr/>
          <w:p>
            <w:pPr>
              <w:pStyle w:val="Compact"/>
              <w:jc w:val="left"/>
            </w:pPr>
            <w:r>
              <w:t xml:space="preserve">Recycled 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0.70 (700 kgCO2e/tonne)</w:t>
            </w:r>
          </w:p>
        </w:tc>
        <w:tc>
          <w:tcPr/>
          <w:p>
            <w:pPr>
              <w:pStyle w:val="Compact"/>
              <w:jc w:val="left"/>
            </w:pPr>
            <w:r>
              <w:t xml:space="preserve">0.070</w:t>
            </w:r>
          </w:p>
        </w:tc>
      </w:tr>
      <w:tr>
        <w:tc>
          <w:tcPr>
            <w:gridSpan w:val="7"/>
          </w:tcPr>
          <w:p>
            <w:pPr>
              <w:pStyle w:val="Compact"/>
              <w:jc w:val="right"/>
            </w:pPr>
            <w:r>
              <w:t xml:space="preserve">Total Material Footprint:</w:t>
            </w:r>
          </w:p>
        </w:tc>
        <w:tc>
          <w:tcPr/>
          <w:p>
            <w:pPr>
              <w:pStyle w:val="Compact"/>
              <w:jc w:val="left"/>
            </w:pPr>
            <w:r>
              <w:rPr>
                <w:bCs/>
                <w:b/>
              </w:rPr>
              <w:t xml:space="preserve">1.862 kgCO2e</w:t>
            </w:r>
          </w:p>
        </w:tc>
      </w:tr>
    </w:tbl>
    <w:bookmarkEnd w:id="24"/>
    <w:bookmarkStart w:id="25" w:name="X48461fcef9b1159567802230966c46ffbf9c8b8"/>
    <w:p>
      <w:pPr>
        <w:pStyle w:val="Heading3"/>
      </w:pPr>
      <w:r>
        <w:t xml:space="preserve">Manufacturing Energy (Scope 2: Purchased Electricity)</w:t>
      </w:r>
    </w:p>
    <w:p>
      <w:pPr>
        <w:pStyle w:val="FirstParagraph"/>
      </w:pPr>
      <w:r>
        <w:t xml:space="preserve">The energy consumption during the production phase is a significant contributor. The provided renewable energy usage (`fthiymztqd`) and energy intensity (`vsmfguglpr`) were placeholders. We assume:</w:t>
      </w:r>
    </w:p>
    <w:p>
      <w:pPr>
        <w:numPr>
          <w:ilvl w:val="0"/>
          <w:numId w:val="1002"/>
        </w:numPr>
        <w:pStyle w:val="Compact"/>
      </w:pPr>
      <w:r>
        <w:rPr>
          <w:bCs/>
          <w:b/>
        </w:rPr>
        <w:t xml:space="preserve">Energy Intensity (kWh/unit):</w:t>
      </w:r>
      <w:r>
        <w:t xml:space="preserve"> </w:t>
      </w:r>
      <w:r>
        <w:t xml:space="preserve">5 kWh/unit (Assumed for "elqdvgfddh").</w:t>
      </w:r>
    </w:p>
    <w:p>
      <w:pPr>
        <w:numPr>
          <w:ilvl w:val="0"/>
          <w:numId w:val="1002"/>
        </w:numPr>
        <w:pStyle w:val="Compact"/>
      </w:pPr>
      <w:r>
        <w:rPr>
          <w:bCs/>
          <w:b/>
        </w:rPr>
        <w:t xml:space="preserve">Renewable Energy Usage:</w:t>
      </w:r>
      <w:r>
        <w:t xml:space="preserve"> </w:t>
      </w:r>
      <w:r>
        <w:t xml:space="preserve">45% (Assumed for manufacturing in China).</w:t>
      </w:r>
    </w:p>
    <w:p>
      <w:pPr>
        <w:numPr>
          <w:ilvl w:val="0"/>
          <w:numId w:val="1002"/>
        </w:numPr>
        <w:pStyle w:val="Compact"/>
      </w:pPr>
      <w:r>
        <w:rPr>
          <w:bCs/>
          <w:b/>
        </w:rPr>
        <w:t xml:space="preserve">China Grid Electricity Emission Factor:</w:t>
      </w:r>
      <w:r>
        <w:t xml:space="preserve"> </w:t>
      </w:r>
      <w:r>
        <w:t xml:space="preserve">0.68 kgCO2e/kWh (Based on 2021 life-cycle average).</w:t>
      </w:r>
    </w:p>
    <w:bookmarkEnd w:id="25"/>
    <w:bookmarkStart w:id="26" w:name="X2b910226bac1d73fa218acd75443869c2bf9039"/>
    <w:p>
      <w:pPr>
        <w:pStyle w:val="Heading3"/>
      </w:pPr>
      <w:r>
        <w:t xml:space="preserve">Transportation &amp; Distribution (Scope 3 - Categories 4 &amp; 9)</w:t>
      </w:r>
    </w:p>
    <w:p>
      <w:pPr>
        <w:pStyle w:val="FirstParagraph"/>
      </w:pPr>
      <w:r>
        <w:t xml:space="preserve">Logistics data (`Transport Mode`, `Transport Distance`, `Last-Mile Delivery Channel`) were provided as placeholders. We assume:</w:t>
      </w:r>
    </w:p>
    <w:p>
      <w:pPr>
        <w:numPr>
          <w:ilvl w:val="0"/>
          <w:numId w:val="1003"/>
        </w:numPr>
        <w:pStyle w:val="Compact"/>
      </w:pPr>
      <w:r>
        <w:rPr>
          <w:bCs/>
          <w:b/>
        </w:rPr>
        <w:t xml:space="preserve">Upstream Transport (Materials to China Factory):</w:t>
      </w:r>
    </w:p>
    <w:p>
      <w:pPr>
        <w:numPr>
          <w:ilvl w:val="1"/>
          <w:numId w:val="1004"/>
        </w:numPr>
        <w:pStyle w:val="Compact"/>
      </w:pPr>
      <w:r>
        <w:t xml:space="preserve">Product weight for components: 0.31 kg</w:t>
      </w:r>
    </w:p>
    <w:p>
      <w:pPr>
        <w:numPr>
          <w:ilvl w:val="1"/>
          <w:numId w:val="1004"/>
        </w:numPr>
        <w:pStyle w:val="Compact"/>
      </w:pPr>
      <w:r>
        <w:t xml:space="preserve">Assumed mode: Road Freight</w:t>
      </w:r>
    </w:p>
    <w:p>
      <w:pPr>
        <w:numPr>
          <w:ilvl w:val="1"/>
          <w:numId w:val="1004"/>
        </w:numPr>
        <w:pStyle w:val="Compact"/>
      </w:pPr>
      <w:r>
        <w:t xml:space="preserve">Assumed average distance: 2,000 km (within Europe)</w:t>
      </w:r>
    </w:p>
    <w:p>
      <w:pPr>
        <w:numPr>
          <w:ilvl w:val="1"/>
          <w:numId w:val="1004"/>
        </w:numPr>
        <w:pStyle w:val="Compact"/>
      </w:pPr>
      <w:r>
        <w:t xml:space="preserve">Emission Factor (Road Freight): 0.105 kgCO2e/tkm (105 gCO2e/tkm for long-haul heavy truck)</w:t>
      </w:r>
    </w:p>
    <w:p>
      <w:pPr>
        <w:numPr>
          <w:ilvl w:val="0"/>
          <w:numId w:val="1003"/>
        </w:numPr>
        <w:pStyle w:val="Compact"/>
      </w:pPr>
      <w:r>
        <w:rPr>
          <w:bCs/>
          <w:b/>
        </w:rPr>
        <w:t xml:space="preserve">Main Transport (China Factory to Europe Distribution Center):</w:t>
      </w:r>
    </w:p>
    <w:p>
      <w:pPr>
        <w:numPr>
          <w:ilvl w:val="1"/>
          <w:numId w:val="1005"/>
        </w:numPr>
        <w:pStyle w:val="Compact"/>
      </w:pPr>
      <w:r>
        <w:t xml:space="preserve">Product weight (with packaging): 0.41 kg</w:t>
      </w:r>
    </w:p>
    <w:p>
      <w:pPr>
        <w:numPr>
          <w:ilvl w:val="1"/>
          <w:numId w:val="1005"/>
        </w:numPr>
        <w:pStyle w:val="Compact"/>
      </w:pPr>
      <w:r>
        <w:t xml:space="preserve">Assumed mode (`Select Mode`): Ocean Freight (China to Europe)</w:t>
      </w:r>
    </w:p>
    <w:p>
      <w:pPr>
        <w:numPr>
          <w:ilvl w:val="1"/>
          <w:numId w:val="1005"/>
        </w:numPr>
        <w:pStyle w:val="Compact"/>
      </w:pPr>
      <w:r>
        <w:t xml:space="preserve">Assumed distance (`qzsemygrgo`): 15,000 km</w:t>
      </w:r>
    </w:p>
    <w:p>
      <w:pPr>
        <w:numPr>
          <w:ilvl w:val="1"/>
          <w:numId w:val="1005"/>
        </w:numPr>
        <w:pStyle w:val="Compact"/>
      </w:pPr>
      <w:r>
        <w:t xml:space="preserve">Emission Factor (Ocean Freight): 0.016 kgCO2e/tkm (for container ships)</w:t>
      </w:r>
    </w:p>
    <w:p>
      <w:pPr>
        <w:numPr>
          <w:ilvl w:val="0"/>
          <w:numId w:val="1003"/>
        </w:numPr>
        <w:pStyle w:val="Compact"/>
      </w:pPr>
      <w:r>
        <w:rPr>
          <w:bCs/>
          <w:b/>
        </w:rPr>
        <w:t xml:space="preserve">Last-Mile Delivery (Europe DC to Customer):</w:t>
      </w:r>
    </w:p>
    <w:p>
      <w:pPr>
        <w:numPr>
          <w:ilvl w:val="1"/>
          <w:numId w:val="1006"/>
        </w:numPr>
        <w:pStyle w:val="Compact"/>
      </w:pPr>
      <w:r>
        <w:t xml:space="preserve">Product weight: 0.41 kg</w:t>
      </w:r>
    </w:p>
    <w:p>
      <w:pPr>
        <w:numPr>
          <w:ilvl w:val="1"/>
          <w:numId w:val="1006"/>
        </w:numPr>
        <w:pStyle w:val="Compact"/>
      </w:pPr>
      <w:r>
        <w:t xml:space="preserve">Assumed channel (`Delivery Type`): Road Freight - Van</w:t>
      </w:r>
    </w:p>
    <w:p>
      <w:pPr>
        <w:numPr>
          <w:ilvl w:val="1"/>
          <w:numId w:val="1006"/>
        </w:numPr>
        <w:pStyle w:val="Compact"/>
      </w:pPr>
      <w:r>
        <w:t xml:space="preserve">Assumed distance: 500 km (within Europe)</w:t>
      </w:r>
    </w:p>
    <w:p>
      <w:pPr>
        <w:numPr>
          <w:ilvl w:val="1"/>
          <w:numId w:val="1006"/>
        </w:numPr>
        <w:pStyle w:val="Compact"/>
      </w:pPr>
      <w:r>
        <w:t xml:space="preserve">Emission Factor (Road Freight): 0.105 kgCO2e/tkm</w:t>
      </w:r>
    </w:p>
    <w:bookmarkEnd w:id="26"/>
    <w:bookmarkStart w:id="27" w:name="X687445901a9235e23446a36286990b6b14efa53"/>
    <w:p>
      <w:pPr>
        <w:pStyle w:val="Heading3"/>
      </w:pPr>
      <w:r>
        <w:t xml:space="preserve">Use Phase (Scope 3 - Category 11: Use of Sold Products)</w:t>
      </w:r>
    </w:p>
    <w:p>
      <w:pPr>
        <w:pStyle w:val="FirstParagraph"/>
      </w:pPr>
      <w:r>
        <w:t xml:space="preserve">The use phase calculation incorporates specific durability and consumption data. The provided lifespan (`pvnlqoioly`) and energy in use (`igjeqsszje`) were placeholders. We assume:</w:t>
      </w:r>
    </w:p>
    <w:p>
      <w:pPr>
        <w:numPr>
          <w:ilvl w:val="0"/>
          <w:numId w:val="1007"/>
        </w:numPr>
        <w:pStyle w:val="Compact"/>
      </w:pPr>
      <w:r>
        <w:rPr>
          <w:bCs/>
          <w:b/>
        </w:rPr>
        <w:t xml:space="preserve">Product Lifespan:</w:t>
      </w:r>
      <w:r>
        <w:t xml:space="preserve"> </w:t>
      </w:r>
      <w:r>
        <w:t xml:space="preserve">5 years (Assumed for "elqdvgfddh").</w:t>
      </w:r>
    </w:p>
    <w:p>
      <w:pPr>
        <w:numPr>
          <w:ilvl w:val="0"/>
          <w:numId w:val="1007"/>
        </w:numPr>
        <w:pStyle w:val="Compact"/>
      </w:pPr>
      <w:r>
        <w:rPr>
          <w:bCs/>
          <w:b/>
        </w:rPr>
        <w:t xml:space="preserve">Energy Consumption in Use:</w:t>
      </w:r>
      <w:r>
        <w:t xml:space="preserve"> </w:t>
      </w:r>
      <w:r>
        <w:t xml:space="preserve">87.6 kWh/year (Equivalent to 0.01 kWh/hour * 24 hours/day * 365 days/year, for a "Smart Home Hub").</w:t>
      </w:r>
    </w:p>
    <w:p>
      <w:pPr>
        <w:numPr>
          <w:ilvl w:val="0"/>
          <w:numId w:val="1007"/>
        </w:numPr>
        <w:pStyle w:val="Compact"/>
      </w:pPr>
      <w:r>
        <w:rPr>
          <w:bCs/>
          <w:b/>
        </w:rPr>
        <w:t xml:space="preserve">Europe Grid Electricity Emission Factor:</w:t>
      </w:r>
      <w:r>
        <w:t xml:space="preserve"> </w:t>
      </w:r>
      <w:r>
        <w:t xml:space="preserve">0.255 kgCO2e/kWh (2022 EU average).</w:t>
      </w:r>
    </w:p>
    <w:bookmarkEnd w:id="27"/>
    <w:bookmarkStart w:id="28" w:name="X771af2267ebd1370d4d978f60d6a0e9044c8834"/>
    <w:p>
      <w:pPr>
        <w:pStyle w:val="Heading3"/>
      </w:pPr>
      <w:r>
        <w:t xml:space="preserve">End-of-Life (EoL) (Scope 3 - Category 12: End-of-Life Treatment of Sold Products)</w:t>
      </w:r>
    </w:p>
    <w:p>
      <w:pPr>
        <w:pStyle w:val="FirstParagraph"/>
      </w:pPr>
      <w:r>
        <w:t xml:space="preserve">End-of-Life scenarios incorporate recyclability (`rwqsdwumkq`) and circular programs (`zfdxztemdd`). We assume:</w:t>
      </w:r>
    </w:p>
    <w:p>
      <w:pPr>
        <w:numPr>
          <w:ilvl w:val="0"/>
          <w:numId w:val="1008"/>
        </w:numPr>
        <w:pStyle w:val="Compact"/>
      </w:pPr>
      <w:r>
        <w:rPr>
          <w:bCs/>
          <w:b/>
        </w:rPr>
        <w:t xml:space="preserve">Recyclability Percentage:</w:t>
      </w:r>
      <w:r>
        <w:t xml:space="preserve"> </w:t>
      </w:r>
      <w:r>
        <w:t xml:space="preserve">70% (of total product mass, 0.41 kg).</w:t>
      </w:r>
    </w:p>
    <w:p>
      <w:pPr>
        <w:numPr>
          <w:ilvl w:val="0"/>
          <w:numId w:val="1008"/>
        </w:numPr>
        <w:pStyle w:val="Compact"/>
      </w:pPr>
      <w:r>
        <w:rPr>
          <w:bCs/>
          <w:b/>
        </w:rPr>
        <w:t xml:space="preserve">Circular/Take-back Programs:</w:t>
      </w:r>
      <w:r>
        <w:t xml:space="preserve"> </w:t>
      </w:r>
      <w:r>
        <w:t xml:space="preserve">Company-sponsored take-back program for end-of-life products, aiming for material recovery and refurbishment where possible. This program is designed to mitigate environmental impact through increased recycling and re-use.</w:t>
      </w:r>
    </w:p>
    <w:p>
      <w:pPr>
        <w:numPr>
          <w:ilvl w:val="0"/>
          <w:numId w:val="1008"/>
        </w:numPr>
        <w:pStyle w:val="Compact"/>
      </w:pPr>
      <w:r>
        <w:rPr>
          <w:bCs/>
          <w:b/>
        </w:rPr>
        <w:t xml:space="preserve">Non-recycled portion:</w:t>
      </w:r>
      <w:r>
        <w:t xml:space="preserve"> </w:t>
      </w:r>
      <w:r>
        <w:t xml:space="preserve">30% of total product mass (0.123 kg) is assumed to be disposed of via landfill/incineration.</w:t>
      </w:r>
    </w:p>
    <w:p>
      <w:pPr>
        <w:numPr>
          <w:ilvl w:val="0"/>
          <w:numId w:val="1008"/>
        </w:numPr>
        <w:pStyle w:val="Compact"/>
      </w:pPr>
      <w:r>
        <w:rPr>
          <w:bCs/>
          <w:b/>
        </w:rPr>
        <w:t xml:space="preserve">Generic EoL Emission Factor (non-recycled):</w:t>
      </w:r>
      <w:r>
        <w:t xml:space="preserve"> </w:t>
      </w:r>
      <w:r>
        <w:t xml:space="preserve">0.3 kgCO2e/kg (Assumed for mixed waste disposal).</w:t>
      </w:r>
    </w:p>
    <w:p>
      <w:r>
        <w:pict>
          <v:rect style="width:0;height:1.5pt" o:hralign="center" o:hrstd="t" o:hr="t"/>
        </w:pict>
      </w:r>
    </w:p>
    <w:bookmarkEnd w:id="28"/>
    <w:bookmarkEnd w:id="29"/>
    <w:bookmarkStart w:id="39" w:name="emissions-calculation"/>
    <w:p>
      <w:pPr>
        <w:pStyle w:val="Heading2"/>
      </w:pPr>
      <w:r>
        <w:t xml:space="preserve">4. Emissions Calculation</w:t>
      </w:r>
    </w:p>
    <w:p>
      <w:pPr>
        <w:pStyle w:val="FirstParagraph"/>
      </w:pPr>
      <w:r>
        <w:t xml:space="preserve">Emissions are calculated by multiplying activity data by appropriate emission factors. All values are expressed in kgCO2e (kilograms of Carbon Dioxide Equivalent).</w:t>
      </w:r>
    </w:p>
    <w:bookmarkStart w:id="30" w:name="scope-1-emissions-direct-emissions"/>
    <w:p>
      <w:pPr>
        <w:pStyle w:val="Heading3"/>
      </w:pPr>
      <w:r>
        <w:t xml:space="preserve">Scope 1 Emissions (Direct Emissions)</w:t>
      </w:r>
    </w:p>
    <w:p>
      <w:pPr>
        <w:pStyle w:val="FirstParagraph"/>
      </w:pPr>
      <w:r>
        <w:t xml:space="preserve">For this product PCF, direct emissions from owned or controlled sources (e.g., direct fuel combustion at the manufacturing facility) are considered negligible or fully covered by upstream Scope 3 factors for raw material production. Based on the "factory_gate" boundary for production, the primary direct emissions associated with manufacturing would be process emissions or onsite fuel combustion. Without specific data, we assume these are either not significant or integrated into upstream material factors.</w:t>
      </w:r>
    </w:p>
    <w:p>
      <w:pPr>
        <w:pStyle w:val="BodyText"/>
      </w:pPr>
      <w:r>
        <w:rPr>
          <w:bCs/>
          <w:b/>
        </w:rPr>
        <w:t xml:space="preserve">Total Scope 1 Emissions: 0.00 kgCO2e</w:t>
      </w:r>
    </w:p>
    <w:bookmarkEnd w:id="30"/>
    <w:bookmarkStart w:id="31" w:name="scope-2-emissions-purchased-electricity"/>
    <w:p>
      <w:pPr>
        <w:pStyle w:val="Heading3"/>
      </w:pPr>
      <w:r>
        <w:t xml:space="preserve">Scope 2 Emissions (Purchased Electricity)</w:t>
      </w:r>
    </w:p>
    <w:p>
      <w:pPr>
        <w:pStyle w:val="FirstParagraph"/>
      </w:pPr>
      <w:r>
        <w:t xml:space="preserve">These emissions arise from the generation of purchased electricity for the manufacturing process.</w:t>
      </w:r>
    </w:p>
    <w:p>
      <w:pPr>
        <w:numPr>
          <w:ilvl w:val="0"/>
          <w:numId w:val="1009"/>
        </w:numPr>
        <w:pStyle w:val="Compact"/>
      </w:pPr>
      <w:r>
        <w:t xml:space="preserve">Total Manufacturing Energy: 5 kWh/unit</w:t>
      </w:r>
    </w:p>
    <w:p>
      <w:pPr>
        <w:numPr>
          <w:ilvl w:val="0"/>
          <w:numId w:val="1009"/>
        </w:numPr>
        <w:pStyle w:val="Compact"/>
      </w:pPr>
      <w:r>
        <w:t xml:space="preserve">Renewable Energy Usage: 45%</w:t>
      </w:r>
    </w:p>
    <w:p>
      <w:pPr>
        <w:numPr>
          <w:ilvl w:val="0"/>
          <w:numId w:val="1009"/>
        </w:numPr>
        <w:pStyle w:val="Compact"/>
      </w:pPr>
      <w:r>
        <w:t xml:space="preserve">Non-renewable electricity consumed: 5 kWh * (1 - 0.45) = 2.75 kWh</w:t>
      </w:r>
    </w:p>
    <w:p>
      <w:pPr>
        <w:numPr>
          <w:ilvl w:val="0"/>
          <w:numId w:val="1009"/>
        </w:numPr>
        <w:pStyle w:val="Compact"/>
      </w:pPr>
      <w:r>
        <w:t xml:space="preserve">China Grid Electricity Emission Factor: 0.68 kgCO2e/kWh</w:t>
      </w:r>
    </w:p>
    <w:p>
      <w:pPr>
        <w:numPr>
          <w:ilvl w:val="0"/>
          <w:numId w:val="1009"/>
        </w:numPr>
        <w:pStyle w:val="Compact"/>
      </w:pPr>
      <w:r>
        <w:rPr>
          <w:bCs/>
          <w:b/>
        </w:rPr>
        <w:t xml:space="preserve">Scope 2 Emissions:</w:t>
      </w:r>
      <w:r>
        <w:t xml:space="preserve"> </w:t>
      </w:r>
      <w:r>
        <w:t xml:space="preserve">2.75 kWh * 0.68 kgCO2e/kWh =</w:t>
      </w:r>
      <w:r>
        <w:t xml:space="preserve"> </w:t>
      </w:r>
      <w:r>
        <w:rPr>
          <w:bCs/>
          <w:b/>
        </w:rPr>
        <w:t xml:space="preserve">1.87 kgCO2e</w:t>
      </w:r>
    </w:p>
    <w:bookmarkEnd w:id="31"/>
    <w:bookmarkStart w:id="37" w:name="scope-3-emissions-value-chain-emissions"/>
    <w:p>
      <w:pPr>
        <w:pStyle w:val="Heading3"/>
      </w:pPr>
      <w:r>
        <w:t xml:space="preserve">Scope 3 Emissions (Value Chain Emissions)</w:t>
      </w:r>
    </w:p>
    <w:p>
      <w:pPr>
        <w:pStyle w:val="FirstParagraph"/>
      </w:pPr>
      <w:r>
        <w:t xml:space="preserve">Scope 3 emissions cover a broad range of indirect emissions, ensuring comprehensive coverage as per 2026 GHG Protocol requirements (at least 95% coverage).</w:t>
      </w:r>
    </w:p>
    <w:bookmarkStart w:id="32" w:name="Xab9729a0caae076ca89f2f71668734f92723cf2"/>
    <w:p>
      <w:pPr>
        <w:pStyle w:val="Heading4"/>
      </w:pPr>
      <w:r>
        <w:t xml:space="preserve">Category 1: Purchased Goods and Services (Materials)</w:t>
      </w:r>
    </w:p>
    <w:p>
      <w:pPr>
        <w:numPr>
          <w:ilvl w:val="0"/>
          <w:numId w:val="1010"/>
        </w:numPr>
        <w:pStyle w:val="Compact"/>
      </w:pPr>
      <w:r>
        <w:t xml:space="preserve">ABS Plastic Casing: 0.20 kg * 3.125311 kgCO2e/kg = 0.625 kgCO2e</w:t>
      </w:r>
    </w:p>
    <w:p>
      <w:pPr>
        <w:numPr>
          <w:ilvl w:val="0"/>
          <w:numId w:val="1010"/>
        </w:numPr>
        <w:pStyle w:val="Compact"/>
      </w:pPr>
      <w:r>
        <w:t xml:space="preserve">PCB (FR4): 0.05 kg * 5.74 kgCO2e/kg = 0.287 kgCO2e</w:t>
      </w:r>
    </w:p>
    <w:p>
      <w:pPr>
        <w:numPr>
          <w:ilvl w:val="0"/>
          <w:numId w:val="1010"/>
        </w:numPr>
        <w:pStyle w:val="Compact"/>
      </w:pPr>
      <w:r>
        <w:t xml:space="preserve">Integrated Circuits: 0.01 kg * 50.0 kgCO2e/kg = 0.500 kgCO2e</w:t>
      </w:r>
    </w:p>
    <w:p>
      <w:pPr>
        <w:numPr>
          <w:ilvl w:val="0"/>
          <w:numId w:val="1010"/>
        </w:numPr>
        <w:pStyle w:val="Compact"/>
      </w:pPr>
      <w:r>
        <w:t xml:space="preserve">Aluminum Heatsink: 0.03 kg * 10.0 kgCO2e/kg = 0.300 kgCO2e</w:t>
      </w:r>
    </w:p>
    <w:p>
      <w:pPr>
        <w:numPr>
          <w:ilvl w:val="0"/>
          <w:numId w:val="1010"/>
        </w:numPr>
        <w:pStyle w:val="Compact"/>
      </w:pPr>
      <w:r>
        <w:t xml:space="preserve">Copper Wire: 0.02 kg * 4.0 kgCO2e/kg = 0.080 kgCO2e</w:t>
      </w:r>
    </w:p>
    <w:p>
      <w:pPr>
        <w:numPr>
          <w:ilvl w:val="0"/>
          <w:numId w:val="1010"/>
        </w:numPr>
        <w:pStyle w:val="Compact"/>
      </w:pPr>
      <w:r>
        <w:t xml:space="preserve">Recycled Cardboard Packaging: 0.10 kg * 0.70 kgCO2e/kg = 0.070 kgCO2e</w:t>
      </w:r>
    </w:p>
    <w:p>
      <w:pPr>
        <w:numPr>
          <w:ilvl w:val="0"/>
          <w:numId w:val="1010"/>
        </w:numPr>
        <w:pStyle w:val="Compact"/>
      </w:pPr>
      <w:r>
        <w:rPr>
          <w:bCs/>
          <w:b/>
        </w:rPr>
        <w:t xml:space="preserve">Subtotal Category 1: 1.862 kgCO2e</w:t>
      </w:r>
    </w:p>
    <w:bookmarkEnd w:id="32"/>
    <w:bookmarkStart w:id="33" w:name="X8498ada35b8b56846ac09b8d90cfd82892d1c2a"/>
    <w:p>
      <w:pPr>
        <w:pStyle w:val="Heading4"/>
      </w:pPr>
      <w:r>
        <w:t xml:space="preserve">Category 4: Upstream Transportation and Distribution (Materials to Factory)</w:t>
      </w:r>
    </w:p>
    <w:p>
      <w:pPr>
        <w:numPr>
          <w:ilvl w:val="0"/>
          <w:numId w:val="1011"/>
        </w:numPr>
        <w:pStyle w:val="Compact"/>
      </w:pPr>
      <w:r>
        <w:t xml:space="preserve">Product weight for components: 0.31 kg</w:t>
      </w:r>
    </w:p>
    <w:p>
      <w:pPr>
        <w:numPr>
          <w:ilvl w:val="0"/>
          <w:numId w:val="1011"/>
        </w:numPr>
        <w:pStyle w:val="Compact"/>
      </w:pPr>
      <w:r>
        <w:t xml:space="preserve">Transport distance: 2,000 km (Road Freight)</w:t>
      </w:r>
    </w:p>
    <w:p>
      <w:pPr>
        <w:numPr>
          <w:ilvl w:val="0"/>
          <w:numId w:val="1011"/>
        </w:numPr>
        <w:pStyle w:val="Compact"/>
      </w:pPr>
      <w:r>
        <w:t xml:space="preserve">Emission Factor (Road Freight): 0.105 kgCO2e/tkm</w:t>
      </w:r>
    </w:p>
    <w:p>
      <w:pPr>
        <w:numPr>
          <w:ilvl w:val="0"/>
          <w:numId w:val="1011"/>
        </w:numPr>
        <w:pStyle w:val="Compact"/>
      </w:pPr>
      <w:r>
        <w:rPr>
          <w:bCs/>
          <w:b/>
        </w:rPr>
        <w:t xml:space="preserve">Subtotal Category 4:</w:t>
      </w:r>
      <w:r>
        <w:t xml:space="preserve"> </w:t>
      </w:r>
      <w:r>
        <w:t xml:space="preserve">(0.31 kg / 1000) * 2000 km * 0.105 kgCO2e/tkm =</w:t>
      </w:r>
      <w:r>
        <w:t xml:space="preserve"> </w:t>
      </w:r>
      <w:r>
        <w:rPr>
          <w:bCs/>
          <w:b/>
        </w:rPr>
        <w:t xml:space="preserve">0.065 kgCO2e</w:t>
      </w:r>
    </w:p>
    <w:bookmarkEnd w:id="33"/>
    <w:bookmarkStart w:id="34" w:name="Xa6efe7da5c4be07a2d770bf78ce52f685f80a8d"/>
    <w:p>
      <w:pPr>
        <w:pStyle w:val="Heading4"/>
      </w:pPr>
      <w:r>
        <w:t xml:space="preserve">Category 9: Downstream Transportation and Distribution (Factory to Customer)</w:t>
      </w:r>
    </w:p>
    <w:p>
      <w:pPr>
        <w:numPr>
          <w:ilvl w:val="0"/>
          <w:numId w:val="1012"/>
        </w:numPr>
        <w:pStyle w:val="Compact"/>
      </w:pPr>
      <w:r>
        <w:t xml:space="preserve">Main Transport (China to Europe DC):</w:t>
      </w:r>
    </w:p>
    <w:p>
      <w:pPr>
        <w:numPr>
          <w:ilvl w:val="1"/>
          <w:numId w:val="1013"/>
        </w:numPr>
        <w:pStyle w:val="Compact"/>
      </w:pPr>
      <w:r>
        <w:t xml:space="preserve">Product weight: 0.41 kg</w:t>
      </w:r>
    </w:p>
    <w:p>
      <w:pPr>
        <w:numPr>
          <w:ilvl w:val="1"/>
          <w:numId w:val="1013"/>
        </w:numPr>
        <w:pStyle w:val="Compact"/>
      </w:pPr>
      <w:r>
        <w:t xml:space="preserve">Distance: 15,000 km (Ocean Freight)</w:t>
      </w:r>
    </w:p>
    <w:p>
      <w:pPr>
        <w:numPr>
          <w:ilvl w:val="1"/>
          <w:numId w:val="1013"/>
        </w:numPr>
        <w:pStyle w:val="Compact"/>
      </w:pPr>
      <w:r>
        <w:t xml:space="preserve">Emission Factor (Ocean Freight): 0.016 kgCO2e/tkm</w:t>
      </w:r>
    </w:p>
    <w:p>
      <w:pPr>
        <w:numPr>
          <w:ilvl w:val="1"/>
          <w:numId w:val="1013"/>
        </w:numPr>
        <w:pStyle w:val="Compact"/>
      </w:pPr>
      <w:r>
        <w:t xml:space="preserve">Emissions: (0.41 kg / 1000) * 15000 km * 0.016 kgCO2e/tkm = 0.098 kgCO2e</w:t>
      </w:r>
    </w:p>
    <w:p>
      <w:pPr>
        <w:numPr>
          <w:ilvl w:val="0"/>
          <w:numId w:val="1012"/>
        </w:numPr>
        <w:pStyle w:val="Compact"/>
      </w:pPr>
      <w:r>
        <w:t xml:space="preserve">Last-Mile Delivery (Europe DC to Customer):</w:t>
      </w:r>
    </w:p>
    <w:p>
      <w:pPr>
        <w:numPr>
          <w:ilvl w:val="1"/>
          <w:numId w:val="1014"/>
        </w:numPr>
        <w:pStyle w:val="Compact"/>
      </w:pPr>
      <w:r>
        <w:t xml:space="preserve">Product weight: 0.41 kg</w:t>
      </w:r>
    </w:p>
    <w:p>
      <w:pPr>
        <w:numPr>
          <w:ilvl w:val="1"/>
          <w:numId w:val="1014"/>
        </w:numPr>
        <w:pStyle w:val="Compact"/>
      </w:pPr>
      <w:r>
        <w:t xml:space="preserve">Distance: 500 km (Road Freight - Van)</w:t>
      </w:r>
    </w:p>
    <w:p>
      <w:pPr>
        <w:numPr>
          <w:ilvl w:val="1"/>
          <w:numId w:val="1014"/>
        </w:numPr>
        <w:pStyle w:val="Compact"/>
      </w:pPr>
      <w:r>
        <w:t xml:space="preserve">Emission Factor (Road Freight): 0.105 kgCO2e/tkm</w:t>
      </w:r>
    </w:p>
    <w:p>
      <w:pPr>
        <w:numPr>
          <w:ilvl w:val="1"/>
          <w:numId w:val="1014"/>
        </w:numPr>
        <w:pStyle w:val="Compact"/>
      </w:pPr>
      <w:r>
        <w:t xml:space="preserve">Emissions: (0.41 kg / 1000) * 500 km * 0.105 kgCO2e/tkm = 0.0215 kgCO2e</w:t>
      </w:r>
    </w:p>
    <w:p>
      <w:pPr>
        <w:numPr>
          <w:ilvl w:val="0"/>
          <w:numId w:val="1012"/>
        </w:numPr>
        <w:pStyle w:val="Compact"/>
      </w:pPr>
      <w:r>
        <w:rPr>
          <w:bCs/>
          <w:b/>
        </w:rPr>
        <w:t xml:space="preserve">Subtotal Category 9: 0.098 + 0.0215 = 0.1195 kgCO2e</w:t>
      </w:r>
    </w:p>
    <w:bookmarkEnd w:id="34"/>
    <w:bookmarkStart w:id="35" w:name="category-11-use-of-sold-products"/>
    <w:p>
      <w:pPr>
        <w:pStyle w:val="Heading4"/>
      </w:pPr>
      <w:r>
        <w:t xml:space="preserve">Category 11: Use of Sold Products</w:t>
      </w:r>
    </w:p>
    <w:p>
      <w:pPr>
        <w:numPr>
          <w:ilvl w:val="0"/>
          <w:numId w:val="1015"/>
        </w:numPr>
        <w:pStyle w:val="Compact"/>
      </w:pPr>
      <w:r>
        <w:t xml:space="preserve">Product Lifespan: 5 years</w:t>
      </w:r>
    </w:p>
    <w:p>
      <w:pPr>
        <w:numPr>
          <w:ilvl w:val="0"/>
          <w:numId w:val="1015"/>
        </w:numPr>
        <w:pStyle w:val="Compact"/>
      </w:pPr>
      <w:r>
        <w:t xml:space="preserve">Energy Consumption in Use: 87.6 kWh/year</w:t>
      </w:r>
    </w:p>
    <w:p>
      <w:pPr>
        <w:numPr>
          <w:ilvl w:val="0"/>
          <w:numId w:val="1015"/>
        </w:numPr>
        <w:pStyle w:val="Compact"/>
      </w:pPr>
      <w:r>
        <w:t xml:space="preserve">Total Energy Consumption: 87.6 kWh/year * 5 years = 438 kWh</w:t>
      </w:r>
    </w:p>
    <w:p>
      <w:pPr>
        <w:numPr>
          <w:ilvl w:val="0"/>
          <w:numId w:val="1015"/>
        </w:numPr>
        <w:pStyle w:val="Compact"/>
      </w:pPr>
      <w:r>
        <w:t xml:space="preserve">Europe Grid Electricity Emission Factor: 0.255 kgCO2e/kWh</w:t>
      </w:r>
    </w:p>
    <w:p>
      <w:pPr>
        <w:numPr>
          <w:ilvl w:val="0"/>
          <w:numId w:val="1015"/>
        </w:numPr>
        <w:pStyle w:val="Compact"/>
      </w:pPr>
      <w:r>
        <w:rPr>
          <w:bCs/>
          <w:b/>
        </w:rPr>
        <w:t xml:space="preserve">Subtotal Category 11:</w:t>
      </w:r>
      <w:r>
        <w:t xml:space="preserve"> </w:t>
      </w:r>
      <w:r>
        <w:t xml:space="preserve">438 kWh * 0.255 kgCO2e/kWh =</w:t>
      </w:r>
      <w:r>
        <w:t xml:space="preserve"> </w:t>
      </w:r>
      <w:r>
        <w:rPr>
          <w:bCs/>
          <w:b/>
        </w:rPr>
        <w:t xml:space="preserve">111.69 kgCO2e</w:t>
      </w:r>
    </w:p>
    <w:bookmarkEnd w:id="35"/>
    <w:bookmarkStart w:id="36" w:name="X9f66eef2700632e081dfe139021cb724ffcd2c5"/>
    <w:p>
      <w:pPr>
        <w:pStyle w:val="Heading4"/>
      </w:pPr>
      <w:r>
        <w:t xml:space="preserve">Category 12: End-of-Life Treatment of Sold Products</w:t>
      </w:r>
    </w:p>
    <w:p>
      <w:pPr>
        <w:numPr>
          <w:ilvl w:val="0"/>
          <w:numId w:val="1016"/>
        </w:numPr>
        <w:pStyle w:val="Compact"/>
      </w:pPr>
      <w:r>
        <w:t xml:space="preserve">Total product weight (including packaging): 0.41 kg</w:t>
      </w:r>
    </w:p>
    <w:p>
      <w:pPr>
        <w:numPr>
          <w:ilvl w:val="0"/>
          <w:numId w:val="1016"/>
        </w:numPr>
        <w:pStyle w:val="Compact"/>
      </w:pPr>
      <w:r>
        <w:t xml:space="preserve">Recycled portion: 70% (0.287 kg). The company\'s circular/take-back programs significantly mitigate the impact of this portion, aiming for material recovery and refurbishment, leading to avoided virgin material production. For the purpose of this calculation, the net emissions from this portion are considered minimal due to effective recovery.</w:t>
      </w:r>
    </w:p>
    <w:p>
      <w:pPr>
        <w:numPr>
          <w:ilvl w:val="0"/>
          <w:numId w:val="1016"/>
        </w:numPr>
        <w:pStyle w:val="Compact"/>
      </w:pPr>
      <w:r>
        <w:t xml:space="preserve">Non-recycled portion: 30% (0.123 kg)</w:t>
      </w:r>
    </w:p>
    <w:p>
      <w:pPr>
        <w:numPr>
          <w:ilvl w:val="0"/>
          <w:numId w:val="1016"/>
        </w:numPr>
        <w:pStyle w:val="Compact"/>
      </w:pPr>
      <w:r>
        <w:t xml:space="preserve">Generic EoL Emission Factor (non-recycled): 0.3 kgCO2e/kg</w:t>
      </w:r>
    </w:p>
    <w:p>
      <w:pPr>
        <w:numPr>
          <w:ilvl w:val="0"/>
          <w:numId w:val="1016"/>
        </w:numPr>
        <w:pStyle w:val="Compact"/>
      </w:pPr>
      <w:r>
        <w:rPr>
          <w:bCs/>
          <w:b/>
        </w:rPr>
        <w:t xml:space="preserve">Subtotal Category 12:</w:t>
      </w:r>
      <w:r>
        <w:t xml:space="preserve"> </w:t>
      </w:r>
      <w:r>
        <w:t xml:space="preserve">0.123 kg * 0.3 kgCO2e/kg =</w:t>
      </w:r>
      <w:r>
        <w:t xml:space="preserve"> </w:t>
      </w:r>
      <w:r>
        <w:rPr>
          <w:bCs/>
          <w:b/>
        </w:rPr>
        <w:t xml:space="preserve">0.0369 kgCO2e</w:t>
      </w:r>
    </w:p>
    <w:bookmarkEnd w:id="36"/>
    <w:bookmarkEnd w:id="37"/>
    <w:bookmarkStart w:id="38" w:name="total-product-carbon-footprint-pcf"/>
    <w:p>
      <w:pPr>
        <w:pStyle w:val="Heading3"/>
      </w:pPr>
      <w:r>
        <w:t xml:space="preserve">Total Product Carbon Footprint (PCF)</w:t>
      </w:r>
    </w:p>
    <w:p>
      <w:pPr>
        <w:numPr>
          <w:ilvl w:val="0"/>
          <w:numId w:val="1017"/>
        </w:numPr>
        <w:pStyle w:val="Compact"/>
      </w:pPr>
      <w:r>
        <w:rPr>
          <w:bCs/>
          <w:b/>
        </w:rPr>
        <w:t xml:space="preserve">Total Scope 1 Emissions:</w:t>
      </w:r>
      <w:r>
        <w:t xml:space="preserve"> </w:t>
      </w:r>
      <w:r>
        <w:t xml:space="preserve">0.00 kgCO2e</w:t>
      </w:r>
    </w:p>
    <w:p>
      <w:pPr>
        <w:numPr>
          <w:ilvl w:val="0"/>
          <w:numId w:val="1017"/>
        </w:numPr>
        <w:pStyle w:val="Compact"/>
      </w:pPr>
      <w:r>
        <w:rPr>
          <w:bCs/>
          <w:b/>
        </w:rPr>
        <w:t xml:space="preserve">Total Scope 2 Emissions:</w:t>
      </w:r>
      <w:r>
        <w:t xml:space="preserve"> </w:t>
      </w:r>
      <w:r>
        <w:t xml:space="preserve">1.87 kgCO2e</w:t>
      </w:r>
    </w:p>
    <w:p>
      <w:pPr>
        <w:numPr>
          <w:ilvl w:val="0"/>
          <w:numId w:val="1017"/>
        </w:numPr>
        <w:pStyle w:val="Compact"/>
      </w:pPr>
      <w:r>
        <w:rPr>
          <w:bCs/>
          <w:b/>
        </w:rPr>
        <w:t xml:space="preserve">Total Scope 3 Emissions:</w:t>
      </w:r>
      <w:r>
        <w:t xml:space="preserve"> </w:t>
      </w:r>
      <w:r>
        <w:t xml:space="preserve">1.862 + 0.065 + 0.1195 + 111.69 + 0.0369 = 113.7734 kgCO2e</w:t>
      </w:r>
    </w:p>
    <w:p>
      <w:pPr>
        <w:numPr>
          <w:ilvl w:val="0"/>
          <w:numId w:val="1017"/>
        </w:numPr>
        <w:pStyle w:val="Compact"/>
      </w:pPr>
      <w:r>
        <w:rPr>
          <w:bCs/>
          <w:b/>
        </w:rPr>
        <w:t xml:space="preserve">Overall Product Carbon Footprint (PCF): 1.87 + 113.7734 = 115.6434 kgCO2e</w:t>
      </w:r>
    </w:p>
    <w:p>
      <w:pPr>
        <w:pStyle w:val="FirstParagraph"/>
      </w:pPr>
      <w:r>
        <w:t xml:space="preserve">The Land Sector and Removals (LSR) Standard (2026 Update) has been considered in this analysis. While specific land use data for individual materials was not available, the methodology acknowledges the importance of accounting for land use and carbon removals. Future analyses with more granular material-specific data will further refine the application of the LSR Standard.</w:t>
      </w:r>
    </w:p>
    <w:p>
      <w:r>
        <w:pict>
          <v:rect style="width:0;height:1.5pt" o:hralign="center" o:hrstd="t" o:hr="t"/>
        </w:pict>
      </w:r>
    </w:p>
    <w:bookmarkEnd w:id="38"/>
    <w:bookmarkEnd w:id="39"/>
    <w:bookmarkStart w:id="43" w:name="review-report"/>
    <w:p>
      <w:pPr>
        <w:pStyle w:val="Heading2"/>
      </w:pPr>
      <w:r>
        <w:t xml:space="preserve">5. Review &amp; Report</w:t>
      </w:r>
    </w:p>
    <w:bookmarkStart w:id="40" w:name="emissions-hotspots"/>
    <w:p>
      <w:pPr>
        <w:pStyle w:val="Heading3"/>
      </w:pPr>
      <w:r>
        <w:t xml:space="preserve">Emissions Hotspots</w:t>
      </w:r>
    </w:p>
    <w:p>
      <w:pPr>
        <w:pStyle w:val="FirstParagraph"/>
      </w:pPr>
      <w:r>
        <w:t xml:space="preserve">The analysis reveals clear hotspots in the lifecycle of "elqdvgfddh":</w:t>
      </w:r>
    </w:p>
    <w:p>
      <w:pPr>
        <w:numPr>
          <w:ilvl w:val="0"/>
          <w:numId w:val="1018"/>
        </w:numPr>
        <w:pStyle w:val="Compact"/>
      </w:pPr>
      <w:r>
        <w:rPr>
          <w:bCs/>
          <w:b/>
        </w:rPr>
        <w:t xml:space="preserve">Use Phase (111.69 kgCO2e):</w:t>
      </w:r>
      <w:r>
        <w:t xml:space="preserve"> </w:t>
      </w:r>
      <w:r>
        <w:t xml:space="preserve">This constitutes the overwhelmingly largest portion of the PCF (approximately 96.6%), primarily driven by the energy consumption of the product over its assumed 5-year lifespan. This is typical for electronic devices.</w:t>
      </w:r>
    </w:p>
    <w:p>
      <w:pPr>
        <w:numPr>
          <w:ilvl w:val="0"/>
          <w:numId w:val="1018"/>
        </w:numPr>
        <w:pStyle w:val="Compact"/>
      </w:pPr>
      <w:r>
        <w:rPr>
          <w:bCs/>
          <w:b/>
        </w:rPr>
        <w:t xml:space="preserve">Material Acquisition &amp; Production (1.862 kgCO2e):</w:t>
      </w:r>
      <w:r>
        <w:t xml:space="preserve"> </w:t>
      </w:r>
      <w:r>
        <w:t xml:space="preserve">While significantly smaller than the use phase, the emissions embedded in raw materials, particularly integrated circuits and ABS plastic, represent the second largest contributor (approximately 1.6%).</w:t>
      </w:r>
    </w:p>
    <w:p>
      <w:pPr>
        <w:numPr>
          <w:ilvl w:val="0"/>
          <w:numId w:val="1018"/>
        </w:numPr>
        <w:pStyle w:val="Compact"/>
      </w:pPr>
      <w:r>
        <w:rPr>
          <w:bCs/>
          <w:b/>
        </w:rPr>
        <w:t xml:space="preserve">Manufacturing Energy (1.87 kgCO2e):</w:t>
      </w:r>
      <w:r>
        <w:t xml:space="preserve"> </w:t>
      </w:r>
      <w:r>
        <w:t xml:space="preserve">The electricity consumed during manufacturing contributes about 1.6% of the total footprint, even with 45% renewable energy usage. The remaining reliance on the Chinese grid mix, which has a higher emission factor compared to many European grids, is notable.</w:t>
      </w:r>
    </w:p>
    <w:p>
      <w:pPr>
        <w:numPr>
          <w:ilvl w:val="0"/>
          <w:numId w:val="1018"/>
        </w:numPr>
        <w:pStyle w:val="Compact"/>
      </w:pPr>
      <w:r>
        <w:rPr>
          <w:bCs/>
          <w:b/>
        </w:rPr>
        <w:t xml:space="preserve">Transportation (0.1845 kgCO2e):</w:t>
      </w:r>
      <w:r>
        <w:t xml:space="preserve"> </w:t>
      </w:r>
      <w:r>
        <w:t xml:space="preserve">Upstream and downstream logistics contribute a relatively small portion (approximately 0.16%) to the overall footprint.</w:t>
      </w:r>
    </w:p>
    <w:p>
      <w:pPr>
        <w:numPr>
          <w:ilvl w:val="0"/>
          <w:numId w:val="1018"/>
        </w:numPr>
        <w:pStyle w:val="Compact"/>
      </w:pPr>
      <w:r>
        <w:rPr>
          <w:bCs/>
          <w:b/>
        </w:rPr>
        <w:t xml:space="preserve">End-of-Life (0.0369 kgCO2e):</w:t>
      </w:r>
      <w:r>
        <w:t xml:space="preserve"> </w:t>
      </w:r>
      <w:r>
        <w:t xml:space="preserve">The impact of end-of-life is low, particularly due to the assumption of effective circular programs and high recyclability.</w:t>
      </w:r>
    </w:p>
    <w:bookmarkEnd w:id="40"/>
    <w:bookmarkStart w:id="41" w:name="reliability-and-limitations"/>
    <w:p>
      <w:pPr>
        <w:pStyle w:val="Heading3"/>
      </w:pPr>
      <w:r>
        <w:t xml:space="preserve">Reliability and Limitations</w:t>
      </w:r>
    </w:p>
    <w:p>
      <w:pPr>
        <w:pStyle w:val="FirstParagraph"/>
      </w:pPr>
      <w:r>
        <w:t xml:space="preserve">The reliability of this report is high for demonstrating the methodology and identifying general hotspots, given the adherence to the GHG Protocol. However, it is subject to the following limitations:</w:t>
      </w:r>
    </w:p>
    <w:p>
      <w:pPr>
        <w:numPr>
          <w:ilvl w:val="0"/>
          <w:numId w:val="1019"/>
        </w:numPr>
        <w:pStyle w:val="Compact"/>
      </w:pPr>
      <w:r>
        <w:rPr>
          <w:bCs/>
          <w:b/>
        </w:rPr>
        <w:t xml:space="preserve">Placeholder Data:</w:t>
      </w:r>
      <w:r>
        <w:t xml:space="preserve"> </w:t>
      </w:r>
      <w:r>
        <w:t xml:space="preserve">Several key parameters (BOM details, transport specifics, energy data, lifespan, recyclability) were provided as placeholders. The use of assumed, albeit plausible, numerical values and emission factors introduces a degree of uncertainty.</w:t>
      </w:r>
    </w:p>
    <w:p>
      <w:pPr>
        <w:numPr>
          <w:ilvl w:val="0"/>
          <w:numId w:val="1019"/>
        </w:numPr>
        <w:pStyle w:val="Compact"/>
      </w:pPr>
      <w:r>
        <w:rPr>
          <w:bCs/>
          <w:b/>
        </w:rPr>
        <w:t xml:space="preserve">Generic Emission Factors:</w:t>
      </w:r>
      <w:r>
        <w:t xml:space="preserve"> </w:t>
      </w:r>
      <w:r>
        <w:t xml:space="preserve">While industry-standard emission factors were used where available, some were based on general averages (e.g., integrated circuits, primary aluminum) or derived from regional data, which may not perfectly reflect the specific supplier processes for "hgpyvuzipp".</w:t>
      </w:r>
    </w:p>
    <w:p>
      <w:pPr>
        <w:numPr>
          <w:ilvl w:val="0"/>
          <w:numId w:val="1019"/>
        </w:numPr>
        <w:pStyle w:val="Compact"/>
      </w:pPr>
      <w:r>
        <w:rPr>
          <w:bCs/>
          <w:b/>
        </w:rPr>
        <w:t xml:space="preserve">LSR Standard Application:</w:t>
      </w:r>
      <w:r>
        <w:t xml:space="preserve"> </w:t>
      </w:r>
      <w:r>
        <w:t xml:space="preserve">The application of the 2026 LSR Standard is acknowledged, but its full granular implementation would require specific land-use change data for each raw material, which was beyond the scope of this placeholder-driven analysis.</w:t>
      </w:r>
    </w:p>
    <w:p>
      <w:pPr>
        <w:numPr>
          <w:ilvl w:val="0"/>
          <w:numId w:val="1019"/>
        </w:numPr>
        <w:pStyle w:val="Compact"/>
      </w:pPr>
      <w:r>
        <w:rPr>
          <w:bCs/>
          <w:b/>
        </w:rPr>
        <w:t xml:space="preserve">Dynamic Context:</w:t>
      </w:r>
      <w:r>
        <w:t xml:space="preserve"> </w:t>
      </w:r>
      <w:r>
        <w:t xml:space="preserve">Emission factors and energy mixes are constantly evolving. This report reflects data points current at the time of compilation, but real-world values may vary.</w:t>
      </w:r>
    </w:p>
    <w:bookmarkEnd w:id="41"/>
    <w:bookmarkStart w:id="42" w:name="recommendations"/>
    <w:p>
      <w:pPr>
        <w:pStyle w:val="Heading3"/>
      </w:pPr>
      <w:r>
        <w:t xml:space="preserve">Recommendations</w:t>
      </w:r>
    </w:p>
    <w:p>
      <w:pPr>
        <w:pStyle w:val="FirstParagraph"/>
      </w:pPr>
      <w:r>
        <w:t xml:space="preserve">Based on this analysis, the following recommendations are put forth for "hgpyvuzipp" concerning "elqdvgfddh":</w:t>
      </w:r>
    </w:p>
    <w:p>
      <w:pPr>
        <w:numPr>
          <w:ilvl w:val="0"/>
          <w:numId w:val="1020"/>
        </w:numPr>
        <w:pStyle w:val="Compact"/>
      </w:pPr>
      <w:r>
        <w:rPr>
          <w:bCs/>
          <w:b/>
        </w:rPr>
        <w:t xml:space="preserve">Focus on Use Phase Efficiency:</w:t>
      </w:r>
      <w:r>
        <w:t xml:space="preserve"> </w:t>
      </w:r>
      <w:r>
        <w:t xml:space="preserve">Given the dominance of use phase emissions, prioritize product design for energy efficiency. Explore low-power modes, extended battery life, and provide clear user guidance on optimal usage to minimize energy consumption.</w:t>
      </w:r>
    </w:p>
    <w:p>
      <w:pPr>
        <w:numPr>
          <w:ilvl w:val="0"/>
          <w:numId w:val="1020"/>
        </w:numPr>
        <w:pStyle w:val="Compact"/>
      </w:pPr>
      <w:r>
        <w:rPr>
          <w:bCs/>
          <w:b/>
        </w:rPr>
        <w:t xml:space="preserve">Investigate Renewable Energy at Manufacturing Sites:</w:t>
      </w:r>
      <w:r>
        <w:t xml:space="preserve"> </w:t>
      </w:r>
      <w:r>
        <w:t xml:space="preserve">Further increase the percentage of renewable energy used in manufacturing operations, particularly in regions with higher grid emission factors like China, to significantly reduce Scope 2 emissions.</w:t>
      </w:r>
    </w:p>
    <w:p>
      <w:pPr>
        <w:numPr>
          <w:ilvl w:val="0"/>
          <w:numId w:val="1020"/>
        </w:numPr>
        <w:pStyle w:val="Compact"/>
      </w:pPr>
      <w:r>
        <w:rPr>
          <w:bCs/>
          <w:b/>
        </w:rPr>
        <w:t xml:space="preserve">Optimize Material Selection:</w:t>
      </w:r>
      <w:r>
        <w:t xml:space="preserve"> </w:t>
      </w:r>
      <w:r>
        <w:t xml:space="preserve">Continue to investigate lower-carbon alternatives for high-impact materials, especially for complex electronic components and plastics, through engaging with suppliers to gather primary emission data.</w:t>
      </w:r>
    </w:p>
    <w:p>
      <w:pPr>
        <w:numPr>
          <w:ilvl w:val="0"/>
          <w:numId w:val="1020"/>
        </w:numPr>
        <w:pStyle w:val="Compact"/>
      </w:pPr>
      <w:r>
        <w:rPr>
          <w:bCs/>
          <w:b/>
        </w:rPr>
        <w:t xml:space="preserve">Strengthen Circularity Initiatives:</w:t>
      </w:r>
      <w:r>
        <w:t xml:space="preserve"> </w:t>
      </w:r>
      <w:r>
        <w:t xml:space="preserve">Enhance and promote take-back and recycling programs, ensuring high collection rates and efficient material recovery. Explore options for product refurbishment and remanufacturing to extend product lifespans beyond initial use.</w:t>
      </w:r>
    </w:p>
    <w:p>
      <w:pPr>
        <w:numPr>
          <w:ilvl w:val="0"/>
          <w:numId w:val="1020"/>
        </w:numPr>
        <w:pStyle w:val="Compact"/>
      </w:pPr>
      <w:r>
        <w:rPr>
          <w:bCs/>
          <w:b/>
        </w:rPr>
        <w:t xml:space="preserve">Primary Data Collection:</w:t>
      </w:r>
      <w:r>
        <w:t xml:space="preserve"> </w:t>
      </w:r>
      <w:r>
        <w:t xml:space="preserve">For future iterations, collect primary data from key suppliers for material production, manufacturing energy consumption, and specific transport routes to reduce uncertainties and improve the accuracy of the PCF.</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elqdvgfddh</dc:title>
  <dc:creator/>
  <dc:description>Detailed Product Carbon Footprint (PCF) analysis report for elqdvgfddh, conducted by Senior Sustainability Consultant nggkkqotvn for hgpyvuzipp, adhering to GHG Protocol and 2026 LSR Update requirements.</dc:description>
  <dc:language>en</dc:language>
  <cp:keywords/>
  <dcterms:created xsi:type="dcterms:W3CDTF">2026-07-15T02:09:14Z</dcterms:created>
  <dcterms:modified xsi:type="dcterms:W3CDTF">2026-07-15T02:09:14Z</dcterms:modified>
</cp:coreProperties>
</file>

<file path=docProps/custom.xml><?xml version="1.0" encoding="utf-8"?>
<Properties xmlns="http://schemas.openxmlformats.org/officeDocument/2006/custom-properties" xmlns:vt="http://schemas.openxmlformats.org/officeDocument/2006/docPropsVTypes"/>
</file>