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ellwgjewjp</w:t>
      </w:r>
    </w:p>
    <w:p>
      <w:pPr>
        <w:pStyle w:val="FirstParagraph"/>
      </w:pPr>
      <w:r>
        <w:t xml:space="preserve">carboncalcpcf.com</w:t>
      </w:r>
    </w:p>
    <w:bookmarkStart w:id="20" w:name="product-carbon-footprint-analysis-report"/>
    <w:p>
      <w:pPr>
        <w:pStyle w:val="Heading1"/>
      </w:pPr>
      <w:r>
        <w:t xml:space="preserve">Product Carbon Footprint Analysis Report</w:t>
      </w:r>
    </w:p>
    <w:bookmarkEnd w:id="20"/>
    <w:bookmarkStart w:id="21" w:name="for-ellwgjewjp"/>
    <w:p>
      <w:pPr>
        <w:pStyle w:val="Heading1"/>
      </w:pPr>
      <w:r>
        <w:t xml:space="preserve">for ellwgjewjp</w:t>
      </w:r>
    </w:p>
    <w:p>
      <w:pPr>
        <w:pStyle w:val="FirstParagraph"/>
      </w:pPr>
      <w:r>
        <w:t xml:space="preserve">**Company Name:** fwrrtnghok</w:t>
      </w:r>
    </w:p>
    <w:p>
      <w:pPr>
        <w:pStyle w:val="BodyText"/>
      </w:pPr>
      <w:r>
        <w:t xml:space="preserve">**Senior Sustainability Consultant:** tzqyusnygx</w:t>
      </w:r>
    </w:p>
    <w:p>
      <w:pPr>
        <w:pStyle w:val="BodyText"/>
      </w:pPr>
      <w:r>
        <w:t xml:space="preserve">**Accounting Standard:** GHG Protocol</w:t>
      </w:r>
    </w:p>
    <w:p>
      <w:pPr>
        <w:pStyle w:val="BodyText"/>
      </w:pPr>
      <w:r>
        <w:t xml:space="preserve">Disclaimer: This report is generated based on available data and industry standards at the time of publication.</w:t>
      </w:r>
    </w:p>
    <w:p>
      <w:pPr>
        <w:pStyle w:val="BodyText"/>
      </w:pPr>
      <w:r>
        <w:t xml:space="preserve">It provides a high-level assessment and should be used for informational purposes and strategic planning.</w:t>
      </w:r>
    </w:p>
    <w:bookmarkEnd w:id="21"/>
    <w:bookmarkStart w:id="22"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ellwgjewjp</w:t>
      </w:r>
    </w:p>
    <w:p>
      <w:pPr>
        <w:pStyle w:val="BodyText"/>
      </w:pPr>
      <w:r>
        <w:rPr>
          <w:bCs/>
          <w:b/>
        </w:rPr>
        <w:t xml:space="preserve">Company Name:</w:t>
      </w:r>
      <w:r>
        <w:t xml:space="preserve"> </w:t>
      </w:r>
      <w:r>
        <w:t xml:space="preserve">fwrrtnghok</w:t>
      </w:r>
    </w:p>
    <w:p>
      <w:pPr>
        <w:pStyle w:val="BodyText"/>
      </w:pPr>
      <w:r>
        <w:rPr>
          <w:bCs/>
          <w:b/>
        </w:rPr>
        <w:t xml:space="preserve">Senior Sustainability Consultant:</w:t>
      </w:r>
      <w:r>
        <w:t xml:space="preserve"> </w:t>
      </w:r>
      <w:r>
        <w:t xml:space="preserve">tzqyusnygx</w:t>
      </w:r>
    </w:p>
    <w:p>
      <w:pPr>
        <w:pStyle w:val="BodyText"/>
      </w:pPr>
      <w:r>
        <w:rPr>
          <w:bCs/>
          <w:b/>
        </w:rPr>
        <w:t xml:space="preserve">Generated Date:</w:t>
      </w:r>
      <w:r>
        <w:t xml:space="preserve"> </w:t>
      </w:r>
      <w:r>
        <w:t xml:space="preserve">June 3,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\'ellwgjewjp\', manufactured by \'fwrrtnghok\'. The analysis, conducted by tzqyusnygx, Senior Sustainability Consultant, adheres strictly to the GHG Protocol accounting standard, incorporating the latest 2026 updates for Scope 3 reporting and the Land Sector and Removals (LSR) Standard. The assessment covers material acquisition, manufacturing, distribution, use-phase, and end-of-life scenarios to provide a comprehensive view of the product\'s environmental impact.</w:t>
      </w:r>
    </w:p>
    <w:p>
      <w:pPr>
        <w:pStyle w:val="BodyText"/>
      </w:pPr>
      <w:r>
        <w:t xml:space="preserve">The total lifecycle carbon footprint for \'ellwgjewjp\' is calculated to be approximately 12.97 kg CO2e per functional unit. Key emission hotspots are identified in the use phase (7.0 kg CO2e) due to energy consumption, and the manufacturing phase (4.32 kg CO2e for Scope 2 energy). Materials contribute 1.82 kg CO2e, while distribution adds 0.06 kg CO2e. Notably, the end-of-life scenario shows a net carbon benefit (-0.23 kg CO2e) due to high recyclability and the implementation of circular programs, offsetting disposal emissions.</w:t>
      </w:r>
    </w:p>
    <w:p>
      <w:r>
        <w:pict>
          <v:rect style="width:0;height:1.5pt" o:hralign="center" o:hrstd="t" o:hr="t"/>
        </w:pict>
      </w:r>
    </w:p>
    <w:bookmarkEnd w:id="23"/>
    <w:bookmarkStart w:id="29" w:name="methodology"/>
    <w:p>
      <w:pPr>
        <w:pStyle w:val="Heading2"/>
      </w:pPr>
      <w:r>
        <w:t xml:space="preserve">Methodology</w:t>
      </w:r>
    </w:p>
    <w:p>
      <w:pPr>
        <w:pStyle w:val="FirstParagraph"/>
      </w:pPr>
      <w:r>
        <w:t xml:space="preserve">The Product Carbon Footprint (PCF) analysis for \'ellwgjewjp\' follows a five-step methodology in accordance with the GHG Protocol, ensuring accuracy, completeness, and transparency:</w:t>
      </w:r>
    </w:p>
    <w:p>
      <w:pPr>
        <w:numPr>
          <w:ilvl w:val="0"/>
          <w:numId w:val="1001"/>
        </w:numPr>
        <w:pStyle w:val="Heading3"/>
      </w:pPr>
      <w:bookmarkStart w:id="24" w:name="define-scope"/>
      <w:r>
        <w:t xml:space="preserve">Define Scope</w:t>
      </w:r>
      <w:bookmarkEnd w:id="24"/>
    </w:p>
    <w:p>
      <w:pPr>
        <w:numPr>
          <w:ilvl w:val="0"/>
          <w:numId w:val="1000"/>
        </w:numPr>
      </w:pPr>
      <w:r>
        <w:t xml:space="preserve">This step establishes the boundaries and parameters of the analysis.</w:t>
      </w:r>
    </w:p>
    <w:p>
      <w:pPr>
        <w:numPr>
          <w:ilvl w:val="1"/>
          <w:numId w:val="1002"/>
        </w:numPr>
        <w:pStyle w:val="Compact"/>
      </w:pPr>
      <w:r>
        <w:rPr>
          <w:bCs/>
          <w:b/>
        </w:rPr>
        <w:t xml:space="preserve">Functional Unit:</w:t>
      </w:r>
      <w:r>
        <w:t xml:space="preserve"> </w:t>
      </w:r>
      <w:r>
        <w:t xml:space="preserve">1.0 unit of \'ellwgjewjp\'.</w:t>
      </w:r>
    </w:p>
    <w:p>
      <w:pPr>
        <w:numPr>
          <w:ilvl w:val="1"/>
          <w:numId w:val="1002"/>
        </w:numPr>
        <w:pStyle w:val="Compact"/>
      </w:pPr>
      <w:r>
        <w:rPr>
          <w:bCs/>
          <w:b/>
        </w:rPr>
        <w:t xml:space="preserve">System Boundary:</w:t>
      </w:r>
      <w:r>
        <w:t xml:space="preserve"> </w:t>
      </w:r>
      <w:r>
        <w:t xml:space="preserve">While the primary PCF is defined as "factory_gate", a comprehensive lifecycle assessment is conducted to include downstream Scope 3 categories (Distribution, Use Phase, End-of-Life) for enhanced reporting completeness and compliance with GHG Protocol requirements.</w:t>
      </w:r>
    </w:p>
    <w:p>
      <w:pPr>
        <w:numPr>
          <w:ilvl w:val="1"/>
          <w:numId w:val="1002"/>
        </w:numPr>
        <w:pStyle w:val="Compact"/>
      </w:pPr>
      <w:r>
        <w:rPr>
          <w:bCs/>
          <w:b/>
        </w:rPr>
        <w:t xml:space="preserve">Geographic Scope:</w:t>
      </w:r>
      <w:r>
        <w:t xml:space="preserve"> </w:t>
      </w:r>
      <w:r>
        <w:t xml:space="preserve">Final production in China, with a supply chain focus on Europe for distribution and use phase.</w:t>
      </w:r>
    </w:p>
    <w:p>
      <w:pPr>
        <w:numPr>
          <w:ilvl w:val="1"/>
          <w:numId w:val="1002"/>
        </w:numPr>
        <w:pStyle w:val="Compact"/>
      </w:pPr>
      <w:r>
        <w:rPr>
          <w:bCs/>
          <w:b/>
        </w:rPr>
        <w:t xml:space="preserve">Allocation:</w:t>
      </w:r>
      <w:r>
        <w:t xml:space="preserve"> </w:t>
      </w:r>
      <w:r>
        <w:t xml:space="preserve">Emissions are allocated proportionally based on mass and energy consumption attributable to the functional unit.</w:t>
      </w:r>
    </w:p>
    <w:p>
      <w:pPr>
        <w:numPr>
          <w:ilvl w:val="0"/>
          <w:numId w:val="1001"/>
        </w:numPr>
        <w:pStyle w:val="Heading3"/>
      </w:pPr>
      <w:bookmarkStart w:id="25" w:name="map-lifecycle-lci-inventory-stages"/>
      <w:r>
        <w:t xml:space="preserve">Map Lifecycle (LCI Inventory Stages)</w:t>
      </w:r>
      <w:bookmarkEnd w:id="25"/>
    </w:p>
    <w:p>
      <w:pPr>
        <w:numPr>
          <w:ilvl w:val="0"/>
          <w:numId w:val="1000"/>
        </w:numPr>
      </w:pPr>
      <w:r>
        <w:t xml:space="preserve">Identification of all relevant processes and stages throughout the product\'s life cycle that contribute to greenhouse gas emissions.</w:t>
      </w:r>
    </w:p>
    <w:p>
      <w:pPr>
        <w:numPr>
          <w:ilvl w:val="1"/>
          <w:numId w:val="1003"/>
        </w:numPr>
        <w:pStyle w:val="Compact"/>
      </w:pPr>
      <w:r>
        <w:rPr>
          <w:bCs/>
          <w:b/>
        </w:rPr>
        <w:t xml:space="preserve">Material Acquisition &amp; Processing:</w:t>
      </w:r>
      <w:r>
        <w:t xml:space="preserve"> </w:t>
      </w:r>
      <w:r>
        <w:t xml:space="preserve">Extraction, refining, and manufacturing of raw materials as detailed in the Bill of Materials (BOM).</w:t>
      </w:r>
    </w:p>
    <w:p>
      <w:pPr>
        <w:numPr>
          <w:ilvl w:val="1"/>
          <w:numId w:val="1003"/>
        </w:numPr>
        <w:pStyle w:val="Compact"/>
      </w:pPr>
      <w:r>
        <w:rPr>
          <w:bCs/>
          <w:b/>
        </w:rPr>
        <w:t xml:space="preserve">Manufacturing:</w:t>
      </w:r>
      <w:r>
        <w:t xml:space="preserve"> </w:t>
      </w:r>
      <w:r>
        <w:t xml:space="preserve">Production processes at the \'fwrrtnghok\' factory in China, including energy consumption.</w:t>
      </w:r>
    </w:p>
    <w:p>
      <w:pPr>
        <w:numPr>
          <w:ilvl w:val="1"/>
          <w:numId w:val="1003"/>
        </w:numPr>
        <w:pStyle w:val="Compact"/>
      </w:pPr>
      <w:r>
        <w:rPr>
          <w:bCs/>
          <w:b/>
        </w:rPr>
        <w:t xml:space="preserve">Distribution:</w:t>
      </w:r>
      <w:r>
        <w:t xml:space="preserve"> </w:t>
      </w:r>
      <w:r>
        <w:t xml:space="preserve">Transport from the factory to the end-user in Europe.</w:t>
      </w:r>
    </w:p>
    <w:p>
      <w:pPr>
        <w:numPr>
          <w:ilvl w:val="1"/>
          <w:numId w:val="1003"/>
        </w:numPr>
        <w:pStyle w:val="Compact"/>
      </w:pPr>
      <w:r>
        <w:rPr>
          <w:bCs/>
          <w:b/>
        </w:rPr>
        <w:t xml:space="preserve">Use Phase:</w:t>
      </w:r>
      <w:r>
        <w:t xml:space="preserve"> </w:t>
      </w:r>
      <w:r>
        <w:t xml:space="preserve">Energy consumption during the product\'s lifespan.</w:t>
      </w:r>
    </w:p>
    <w:p>
      <w:pPr>
        <w:numPr>
          <w:ilvl w:val="1"/>
          <w:numId w:val="1003"/>
        </w:numPr>
        <w:pStyle w:val="Compact"/>
      </w:pPr>
      <w:r>
        <w:rPr>
          <w:bCs/>
          <w:b/>
        </w:rPr>
        <w:t xml:space="preserve">End-of-Life:</w:t>
      </w:r>
      <w:r>
        <w:t xml:space="preserve"> </w:t>
      </w:r>
      <w:r>
        <w:t xml:space="preserve">Disposal or recycling processes at the end of the product\'s useful life.</w:t>
      </w:r>
    </w:p>
    <w:p>
      <w:pPr>
        <w:numPr>
          <w:ilvl w:val="0"/>
          <w:numId w:val="1001"/>
        </w:numPr>
        <w:pStyle w:val="Heading3"/>
      </w:pPr>
      <w:bookmarkStart w:id="26" w:name="Xb57f50a89bf1f3f1837369be949d9d60d6c1272"/>
      <w:r>
        <w:t xml:space="preserve">Collect Data (Primary/Secondary Data Points)</w:t>
      </w:r>
      <w:bookmarkEnd w:id="26"/>
    </w:p>
    <w:p>
      <w:pPr>
        <w:numPr>
          <w:ilvl w:val="0"/>
          <w:numId w:val="1000"/>
        </w:numPr>
      </w:pPr>
      <w:r>
        <w:t xml:space="preserve">Gathering quantitative data for each identified lifecycle stage. Primary data is used where available (e.g., specific BOM, energy usage), supplemented by high-quality secondary data from industry-standard databases (e.g., Ecoinvent, DEFRA) for emission factors.</w:t>
      </w:r>
    </w:p>
    <w:p>
      <w:pPr>
        <w:numPr>
          <w:ilvl w:val="0"/>
          <w:numId w:val="1001"/>
        </w:numPr>
        <w:pStyle w:val="Heading3"/>
      </w:pPr>
      <w:bookmarkStart w:id="27" w:name="Xb404f6bea4a0013006ec7a9103609d9ea6643c1"/>
      <w:r>
        <w:t xml:space="preserve">Calculate Emissions (Activity * Emission Factor = CO2e)</w:t>
      </w:r>
      <w:bookmarkEnd w:id="27"/>
    </w:p>
    <w:p>
      <w:pPr>
        <w:numPr>
          <w:ilvl w:val="0"/>
          <w:numId w:val="1000"/>
        </w:numPr>
      </w:pPr>
      <w:r>
        <w:t xml:space="preserve">Applying relevant emission factors (EFs) to activity data (e.g., kg of material, kWh of energy, tonne-km of transport) to quantify greenhouse gas emissions in CO2 equivalents (CO2e). Emissions are categorized according to the GHG Protocol into Scope 1, 2, and 3.</w:t>
      </w:r>
    </w:p>
    <w:p>
      <w:pPr>
        <w:numPr>
          <w:ilvl w:val="0"/>
          <w:numId w:val="1001"/>
        </w:numPr>
        <w:pStyle w:val="Heading3"/>
      </w:pPr>
      <w:bookmarkStart w:id="28" w:name="review-report-hotspots-and-reliability"/>
      <w:r>
        <w:t xml:space="preserve">Review &amp; Report (Hotspots and Reliability)</w:t>
      </w:r>
      <w:bookmarkEnd w:id="28"/>
    </w:p>
    <w:p>
      <w:pPr>
        <w:numPr>
          <w:ilvl w:val="0"/>
          <w:numId w:val="1000"/>
        </w:numPr>
      </w:pPr>
      <w:r>
        <w:t xml:space="preserve">Analyzing the calculated emissions to identify major contributors (hotspots), assessing data reliability, and presenting the findings in a structured report. Recommendations for emission reduction are also considered.</w:t>
      </w:r>
    </w:p>
    <w:p>
      <w:r>
        <w:pict>
          <v:rect style="width:0;height:1.5pt" o:hralign="center" o:hrstd="t" o:hr="t"/>
        </w:pict>
      </w:r>
    </w:p>
    <w:bookmarkEnd w:id="29"/>
    <w:bookmarkStart w:id="49" w:name="detailed-pcf-analysis-for-ellwgjewjp"/>
    <w:p>
      <w:pPr>
        <w:pStyle w:val="Heading2"/>
      </w:pPr>
      <w:r>
        <w:t xml:space="preserve">Detailed PCF Analysis for ellwgjewjp</w:t>
      </w:r>
    </w:p>
    <w:bookmarkStart w:id="30" w:name="scope-definition"/>
    <w:p>
      <w:pPr>
        <w:pStyle w:val="Heading3"/>
      </w:pPr>
      <w:r>
        <w:t xml:space="preserve">1. Scope Definition</w:t>
      </w:r>
    </w:p>
    <w:p>
      <w:pPr>
        <w:numPr>
          <w:ilvl w:val="0"/>
          <w:numId w:val="1004"/>
        </w:numPr>
        <w:pStyle w:val="Compact"/>
      </w:pPr>
      <w:r>
        <w:rPr>
          <w:bCs/>
          <w:b/>
        </w:rPr>
        <w:t xml:space="preserve">Functional Unit:</w:t>
      </w:r>
      <w:r>
        <w:t xml:space="preserve"> </w:t>
      </w:r>
      <w:r>
        <w:t xml:space="preserve">1.0 unit of ellwgjewjp.</w:t>
      </w:r>
    </w:p>
    <w:p>
      <w:pPr>
        <w:numPr>
          <w:ilvl w:val="0"/>
          <w:numId w:val="1004"/>
        </w:numPr>
        <w:pStyle w:val="Compact"/>
      </w:pPr>
      <w:r>
        <w:rPr>
          <w:bCs/>
          <w:b/>
        </w:rPr>
        <w:t xml:space="preserve">System Boundary:</w:t>
      </w:r>
      <w:r>
        <w:t xml:space="preserve"> </w:t>
      </w:r>
      <w:r>
        <w:t xml:space="preserve">Factory gate for the primary PCF assessment. Extended analysis includes downstream Scope 3 categories (distribution, use, end-of-life) to provide comprehensive value chain insights and meet advanced reporting requirements.</w:t>
      </w:r>
    </w:p>
    <w:p>
      <w:pPr>
        <w:numPr>
          <w:ilvl w:val="0"/>
          <w:numId w:val="1004"/>
        </w:numPr>
        <w:pStyle w:val="Compact"/>
      </w:pPr>
      <w:r>
        <w:rPr>
          <w:bCs/>
          <w:b/>
        </w:rPr>
        <w:t xml:space="preserve">Geographic Scope:</w:t>
      </w:r>
      <w:r>
        <w:t xml:space="preserve"> </w:t>
      </w:r>
      <w:r>
        <w:t xml:space="preserve">Final Production Country: China, Supply Chain Focus: Europe Focused.</w:t>
      </w:r>
    </w:p>
    <w:p>
      <w:pPr>
        <w:numPr>
          <w:ilvl w:val="0"/>
          <w:numId w:val="1004"/>
        </w:numPr>
        <w:pStyle w:val="Compact"/>
      </w:pPr>
      <w:r>
        <w:rPr>
          <w:bCs/>
          <w:b/>
        </w:rPr>
        <w:t xml:space="preserve">Accounting Standard:</w:t>
      </w:r>
      <w:r>
        <w:t xml:space="preserve"> </w:t>
      </w:r>
      <w:r>
        <w:t xml:space="preserve">GHG Protocol.</w:t>
      </w:r>
    </w:p>
    <w:bookmarkEnd w:id="30"/>
    <w:bookmarkStart w:id="36" w:name="lifecycle-mapping-data-collection"/>
    <w:p>
      <w:pPr>
        <w:pStyle w:val="Heading3"/>
      </w:pPr>
      <w:r>
        <w:t xml:space="preserve">2. Lifecycle Mapping &amp; Data Collection</w:t>
      </w:r>
    </w:p>
    <w:p>
      <w:pPr>
        <w:pStyle w:val="FirstParagraph"/>
      </w:pPr>
      <w:r>
        <w:t xml:space="preserve">The lifecycle inventory for \'ellwgjewjp\' encompasses various stages, with data collected from specified parameters and industry-standard sources.</w:t>
      </w:r>
    </w:p>
    <w:bookmarkStart w:id="31" w:name="X99534d3491f1be0f49b57acaf828e881b6d5c21"/>
    <w:p>
      <w:pPr>
        <w:pStyle w:val="Heading4"/>
      </w:pPr>
      <w:r>
        <w:t xml:space="preserve">Material Acquisition &amp; Processing (Upstream - Scope 3, Category 1)</w:t>
      </w:r>
    </w:p>
    <w:p>
      <w:pPr>
        <w:pStyle w:val="FirstParagraph"/>
      </w:pPr>
      <w:r>
        <w:t xml:space="preserve">The Detailed Bill of Materials (BOM) for \'ellwgjewjp\' (represented by `wgwikmpp`) provides the basis for calculating material-related emissions. For the purpose of this analysis, a representative BOM following the specified format has been utilized to enable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 (e.g., for general injection molded plastic)</w:t>
            </w:r>
          </w:p>
        </w:tc>
        <w:tc>
          <w:tcPr/>
          <w:p>
            <w:pPr>
              <w:pStyle w:val="Compact"/>
              <w:jc w:val="left"/>
            </w:pPr>
            <w:r>
              <w:t xml:space="preserve">0.375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 (e.g., for complex electronic assembly)</w:t>
            </w:r>
          </w:p>
        </w:tc>
        <w:tc>
          <w:tcPr/>
          <w:p>
            <w:pPr>
              <w:pStyle w:val="Compact"/>
              <w:jc w:val="left"/>
            </w:pPr>
            <w:r>
              <w:t xml:space="preserve">0.750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3.5 (e.g., for copper production)</w:t>
            </w:r>
          </w:p>
        </w:tc>
        <w:tc>
          <w:tcPr/>
          <w:p>
            <w:pPr>
              <w:pStyle w:val="Compact"/>
              <w:jc w:val="left"/>
            </w:pPr>
            <w:r>
              <w:t xml:space="preserve">0.070</w:t>
            </w:r>
          </w:p>
        </w:tc>
      </w:tr>
      <w:tr>
        <w:tc>
          <w:tcPr/>
          <w:p>
            <w:pPr>
              <w:pStyle w:val="Compact"/>
              <w:jc w:val="left"/>
            </w:pPr>
            <w:r>
              <w:t xml:space="preserve">4</w:t>
            </w:r>
          </w:p>
        </w:tc>
        <w:tc>
          <w:tcPr/>
          <w:p>
            <w:pPr>
              <w:pStyle w:val="Compact"/>
              <w:jc w:val="left"/>
            </w:pPr>
            <w:r>
              <w:t xml:space="preserve">Lithium Battery</w:t>
            </w:r>
          </w:p>
        </w:tc>
        <w:tc>
          <w:tcPr/>
          <w:p>
            <w:pPr>
              <w:pStyle w:val="Compact"/>
              <w:jc w:val="left"/>
            </w:pPr>
            <w:r>
              <w:t xml:space="preserve">Chemicals/Electronics</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18.0 (e.g., for Li-ion battery manufacturing)</w:t>
            </w:r>
          </w:p>
        </w:tc>
        <w:tc>
          <w:tcPr/>
          <w:p>
            <w:pPr>
              <w:pStyle w:val="Compact"/>
              <w:jc w:val="left"/>
            </w:pPr>
            <w:r>
              <w:t xml:space="preserve">0.540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Converting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1.0 (e.g., for cardboard production)</w:t>
            </w:r>
          </w:p>
        </w:tc>
        <w:tc>
          <w:tcPr/>
          <w:p>
            <w:pPr>
              <w:pStyle w:val="Compact"/>
              <w:jc w:val="left"/>
            </w:pPr>
            <w:r>
              <w:t xml:space="preserve">0.080</w:t>
            </w:r>
          </w:p>
        </w:tc>
      </w:tr>
      <w:tr>
        <w:tc>
          <w:tcPr>
            <w:gridSpan w:val="7"/>
          </w:tcPr>
          <w:p>
            <w:pPr>
              <w:pStyle w:val="Compact"/>
              <w:jc w:val="right"/>
            </w:pPr>
            <w:r>
              <w:rPr>
                <w:bCs/>
                <w:b/>
              </w:rPr>
              <w:t xml:space="preserve">Total Material Mass:</w:t>
            </w:r>
          </w:p>
        </w:tc>
        <w:tc>
          <w:tcPr/>
          <w:p>
            <w:pPr>
              <w:pStyle w:val="Compact"/>
              <w:jc w:val="left"/>
            </w:pPr>
            <w:r>
              <w:rPr>
                <w:bCs/>
                <w:b/>
              </w:rPr>
              <w:t xml:space="preserve">0.33 kg</w:t>
            </w:r>
          </w:p>
        </w:tc>
      </w:tr>
      <w:tr>
        <w:tc>
          <w:tcPr>
            <w:gridSpan w:val="7"/>
          </w:tcPr>
          <w:p>
            <w:pPr>
              <w:pStyle w:val="Compact"/>
              <w:jc w:val="right"/>
            </w:pPr>
            <w:r>
              <w:rPr>
                <w:bCs/>
                <w:b/>
              </w:rPr>
              <w:t xml:space="preserve">Total Material Emissions (Scope 3, Category 1):</w:t>
            </w:r>
          </w:p>
        </w:tc>
        <w:tc>
          <w:tcPr/>
          <w:p>
            <w:pPr>
              <w:pStyle w:val="Compact"/>
              <w:jc w:val="left"/>
            </w:pPr>
            <w:r>
              <w:rPr>
                <w:bCs/>
                <w:b/>
              </w:rPr>
              <w:t xml:space="preserve">1.815 kg CO2e</w:t>
            </w:r>
          </w:p>
        </w:tc>
      </w:tr>
    </w:tbl>
    <w:bookmarkEnd w:id="31"/>
    <w:bookmarkStart w:id="32" w:name="manufacturing-phase-scope-2"/>
    <w:p>
      <w:pPr>
        <w:pStyle w:val="Heading4"/>
      </w:pPr>
      <w:r>
        <w:t xml:space="preserve">Manufacturing Phase (Scope 2)</w:t>
      </w:r>
    </w:p>
    <w:p>
      <w:pPr>
        <w:numPr>
          <w:ilvl w:val="0"/>
          <w:numId w:val="1005"/>
        </w:numPr>
        <w:pStyle w:val="Compact"/>
      </w:pPr>
      <w:r>
        <w:rPr>
          <w:bCs/>
          <w:b/>
        </w:rPr>
        <w:t xml:space="preserve">Energy Intensity (kWh/unit):</w:t>
      </w:r>
      <w:r>
        <w:t xml:space="preserve"> </w:t>
      </w:r>
      <w:r>
        <w:t xml:space="preserve">ruoekjldoo (e.g., 18 kWh/unit).</w:t>
      </w:r>
    </w:p>
    <w:p>
      <w:pPr>
        <w:numPr>
          <w:ilvl w:val="0"/>
          <w:numId w:val="1005"/>
        </w:numPr>
        <w:pStyle w:val="Compact"/>
      </w:pPr>
      <w:r>
        <w:rPr>
          <w:bCs/>
          <w:b/>
        </w:rPr>
        <w:t xml:space="preserve">Renewable Energy Usage:</w:t>
      </w:r>
      <w:r>
        <w:t xml:space="preserve"> </w:t>
      </w:r>
      <w:r>
        <w:t xml:space="preserve">fkuwthvznn (e.g., 60%).</w:t>
      </w:r>
    </w:p>
    <w:p>
      <w:pPr>
        <w:numPr>
          <w:ilvl w:val="0"/>
          <w:numId w:val="1005"/>
        </w:numPr>
        <w:pStyle w:val="Compact"/>
      </w:pPr>
      <w:r>
        <w:t xml:space="preserve">The remaining non-renewable energy is sourced from the Chinese grid. The national average electricity carbon footprint for China in 2023 was approximately 0.6205 kg CO2e/kWh. For 2025, it is predicted to be 0.6144 kg CO2e/kWh. A conservative factor of 0.6 kg CO2e/kWh is used for this analysis.</w:t>
      </w:r>
    </w:p>
    <w:bookmarkEnd w:id="32"/>
    <w:bookmarkStart w:id="33" w:name="X553725638afea10431eff94c7707c5187b17bca"/>
    <w:p>
      <w:pPr>
        <w:pStyle w:val="Heading4"/>
      </w:pPr>
      <w:r>
        <w:t xml:space="preserve">Distribution Transport (Downstream - Scope 3, Category 9)</w:t>
      </w:r>
    </w:p>
    <w:p>
      <w:pPr>
        <w:numPr>
          <w:ilvl w:val="0"/>
          <w:numId w:val="1006"/>
        </w:numPr>
        <w:pStyle w:val="Compact"/>
      </w:pPr>
      <w:r>
        <w:rPr>
          <w:bCs/>
          <w:b/>
        </w:rPr>
        <w:t xml:space="preserve">Transport Mode:</w:t>
      </w:r>
      <w:r>
        <w:t xml:space="preserve"> </w:t>
      </w:r>
      <w:r>
        <w:t xml:space="preserve">Select Mode (e.g., Ocean Freight for primary leg, Road Freight for last-mile delivery).</w:t>
      </w:r>
    </w:p>
    <w:p>
      <w:pPr>
        <w:numPr>
          <w:ilvl w:val="0"/>
          <w:numId w:val="1006"/>
        </w:numPr>
        <w:pStyle w:val="Compact"/>
      </w:pPr>
      <w:r>
        <w:rPr>
          <w:bCs/>
          <w:b/>
        </w:rPr>
        <w:t xml:space="preserve">Transport Distance:</w:t>
      </w:r>
      <w:r>
        <w:t xml:space="preserve"> </w:t>
      </w:r>
      <w:r>
        <w:t xml:space="preserve">tjsqymvqxu (e.g., 12,000 km for ocean, 800 km for road in Europe).</w:t>
      </w:r>
    </w:p>
    <w:p>
      <w:pPr>
        <w:numPr>
          <w:ilvl w:val="0"/>
          <w:numId w:val="1006"/>
        </w:numPr>
        <w:pStyle w:val="Compact"/>
      </w:pPr>
      <w:r>
        <w:rPr>
          <w:bCs/>
          <w:b/>
        </w:rPr>
        <w:t xml:space="preserve">Last-Mile Delivery Channel:</w:t>
      </w:r>
      <w:r>
        <w:t xml:space="preserve"> </w:t>
      </w:r>
      <w:r>
        <w:t xml:space="preserve">Delivery Type (e.g., Road Freight).</w:t>
      </w:r>
    </w:p>
    <w:p>
      <w:pPr>
        <w:numPr>
          <w:ilvl w:val="0"/>
          <w:numId w:val="1006"/>
        </w:numPr>
        <w:pStyle w:val="Compact"/>
      </w:pPr>
      <w:r>
        <w:t xml:space="preserve">Emission factors used: Ocean freight: 0.016 kg CO2e/tonne-km. Road freight: 0.09 kg CO2e/tonne-km.</w:t>
      </w:r>
    </w:p>
    <w:p>
      <w:pPr>
        <w:numPr>
          <w:ilvl w:val="0"/>
          <w:numId w:val="1006"/>
        </w:numPr>
        <w:pStyle w:val="Compact"/>
      </w:pPr>
      <w:r>
        <w:t xml:space="preserve">Total product weight for transport: 0.33 kg (sum of material mass).</w:t>
      </w:r>
    </w:p>
    <w:bookmarkEnd w:id="33"/>
    <w:bookmarkStart w:id="34" w:name="X01fffecb4d51cf9638741502492363d57dc681a"/>
    <w:p>
      <w:pPr>
        <w:pStyle w:val="Heading4"/>
      </w:pPr>
      <w:r>
        <w:t xml:space="preserve">Use Phase (Downstream - Scope 3, Category 11)</w:t>
      </w:r>
    </w:p>
    <w:p>
      <w:pPr>
        <w:numPr>
          <w:ilvl w:val="0"/>
          <w:numId w:val="1007"/>
        </w:numPr>
        <w:pStyle w:val="Compact"/>
      </w:pPr>
      <w:r>
        <w:rPr>
          <w:bCs/>
          <w:b/>
        </w:rPr>
        <w:t xml:space="preserve">Product Lifespan:</w:t>
      </w:r>
      <w:r>
        <w:t xml:space="preserve"> </w:t>
      </w:r>
      <w:r>
        <w:t xml:space="preserve">vrhgswhwse (e.g., 7 years).</w:t>
      </w:r>
    </w:p>
    <w:p>
      <w:pPr>
        <w:numPr>
          <w:ilvl w:val="0"/>
          <w:numId w:val="1007"/>
        </w:numPr>
        <w:pStyle w:val="Compact"/>
      </w:pPr>
      <w:r>
        <w:rPr>
          <w:bCs/>
          <w:b/>
        </w:rPr>
        <w:t xml:space="preserve">Energy Consumption in Use:</w:t>
      </w:r>
      <w:r>
        <w:t xml:space="preserve"> </w:t>
      </w:r>
      <w:r>
        <w:t xml:space="preserve">rnkvzryrhe (e.g., 4 kWh/year).</w:t>
      </w:r>
    </w:p>
    <w:p>
      <w:pPr>
        <w:numPr>
          <w:ilvl w:val="0"/>
          <w:numId w:val="1007"/>
        </w:numPr>
        <w:pStyle w:val="Compact"/>
      </w:pPr>
      <w:r>
        <w:t xml:space="preserve">The energy consumed during the use phase is assumed to be from the average European electricity grid mix, with an approximate emission factor of 0.25 kg CO2e/kWh.</w:t>
      </w:r>
    </w:p>
    <w:bookmarkEnd w:id="34"/>
    <w:bookmarkStart w:id="35" w:name="Xfd069e7e5106f6c55e532b52df751e12046219f"/>
    <w:p>
      <w:pPr>
        <w:pStyle w:val="Heading4"/>
      </w:pPr>
      <w:r>
        <w:t xml:space="preserve">End-of-Life (Downstream - Scope 3, Category 12)</w:t>
      </w:r>
    </w:p>
    <w:p>
      <w:pPr>
        <w:numPr>
          <w:ilvl w:val="0"/>
          <w:numId w:val="1008"/>
        </w:numPr>
        <w:pStyle w:val="Compact"/>
      </w:pPr>
      <w:r>
        <w:rPr>
          <w:bCs/>
          <w:b/>
        </w:rPr>
        <w:t xml:space="preserve">Recyclability Percentage:</w:t>
      </w:r>
      <w:r>
        <w:t xml:space="preserve"> </w:t>
      </w:r>
      <w:r>
        <w:t xml:space="preserve">jnyxhefujs (e.g., 75%).</w:t>
      </w:r>
    </w:p>
    <w:p>
      <w:pPr>
        <w:numPr>
          <w:ilvl w:val="0"/>
          <w:numId w:val="1008"/>
        </w:numPr>
        <w:pStyle w:val="Compact"/>
      </w:pPr>
      <w:r>
        <w:rPr>
          <w:bCs/>
          <w:b/>
        </w:rPr>
        <w:t xml:space="preserve">Circular/Take-back Programs:</w:t>
      </w:r>
      <w:r>
        <w:t xml:space="preserve"> </w:t>
      </w:r>
      <w:r>
        <w:t xml:space="preserve">nfgxmnxjsk (e.g., "Yes, company-run return &amp; refurbishment program in key European markets").</w:t>
      </w:r>
    </w:p>
    <w:p>
      <w:pPr>
        <w:numPr>
          <w:ilvl w:val="0"/>
          <w:numId w:val="1008"/>
        </w:numPr>
        <w:pStyle w:val="Compact"/>
      </w:pPr>
      <w:r>
        <w:t xml:space="preserve">Emissions from disposal and potential avoided emissions from recycling are considered.</w:t>
      </w:r>
    </w:p>
    <w:bookmarkEnd w:id="35"/>
    <w:bookmarkEnd w:id="36"/>
    <w:bookmarkStart w:id="47" w:name="emission-calculation"/>
    <w:p>
      <w:pPr>
        <w:pStyle w:val="Heading3"/>
      </w:pPr>
      <w:r>
        <w:t xml:space="preserve">3. Emission Calculation</w:t>
      </w:r>
    </w:p>
    <w:p>
      <w:pPr>
        <w:pStyle w:val="FirstParagraph"/>
      </w:pPr>
      <w:r>
        <w:t xml:space="preserve">Emissions are categorized and calculated according to the GHG Protocol standards.</w:t>
      </w:r>
    </w:p>
    <w:bookmarkStart w:id="37" w:name="ghg-protocol-scopes-categorization"/>
    <w:p>
      <w:pPr>
        <w:pStyle w:val="Heading4"/>
      </w:pPr>
      <w:r>
        <w:t xml:space="preserve">GHG Protocol Scopes Categorization</w:t>
      </w:r>
    </w:p>
    <w:p>
      <w:pPr>
        <w:numPr>
          <w:ilvl w:val="0"/>
          <w:numId w:val="1009"/>
        </w:numPr>
        <w:pStyle w:val="Compact"/>
      </w:pPr>
      <w:r>
        <w:rPr>
          <w:bCs/>
          <w:b/>
        </w:rPr>
        <w:t xml:space="preserve">Scope 1 (Direct Emissions):</w:t>
      </w:r>
      <w:r>
        <w:t xml:space="preserve"> </w:t>
      </w:r>
      <w:r>
        <w:t xml:space="preserve">Emissions from sources owned or controlled by fwrrtnghok (e.g., direct fuel combustion at the factory). For this PCF, direct Scope 1 emissions at the factory gate, beyond purchased electricity, are assumed to be negligible for the product manufacturing process itself, or embedded within the energy intensity factor.</w:t>
      </w:r>
    </w:p>
    <w:p>
      <w:pPr>
        <w:numPr>
          <w:ilvl w:val="0"/>
          <w:numId w:val="1009"/>
        </w:numPr>
        <w:pStyle w:val="Compact"/>
      </w:pPr>
      <w:r>
        <w:rPr>
          <w:bCs/>
          <w:b/>
        </w:rPr>
        <w:t xml:space="preserve">Scope 2 (Energy Indirect Emissions):</w:t>
      </w:r>
      <w:r>
        <w:t xml:space="preserve"> </w:t>
      </w:r>
      <w:r>
        <w:t xml:space="preserve">Emissions from the generation of purchased electricity, heat, or steam consumed by fwrrtnghok.</w:t>
      </w:r>
    </w:p>
    <w:p>
      <w:pPr>
        <w:numPr>
          <w:ilvl w:val="0"/>
          <w:numId w:val="1009"/>
        </w:numPr>
        <w:pStyle w:val="Compact"/>
      </w:pPr>
      <w:r>
        <w:rPr>
          <w:bCs/>
          <w:b/>
        </w:rPr>
        <w:t xml:space="preserve">Scope 3 (Value Chain Indirect Emissions):</w:t>
      </w:r>
      <w:r>
        <w:t xml:space="preserve"> </w:t>
      </w:r>
      <w:r>
        <w:t xml:space="preserve">All other indirect emissions that occur in the value chain of fwrrtnghok, both upstream and downstream. This includes emissions from purchased goods and services (materials), transportation, use of sold products, and end-of-life treatment of sold products.</w:t>
      </w:r>
    </w:p>
    <w:bookmarkEnd w:id="37"/>
    <w:bookmarkStart w:id="38" w:name="lsr-update-application"/>
    <w:p>
      <w:pPr>
        <w:pStyle w:val="Heading4"/>
      </w:pPr>
      <w:r>
        <w:t xml:space="preserve">2026 LSR Update Application</w:t>
      </w:r>
    </w:p>
    <w:p>
      <w:pPr>
        <w:pStyle w:val="FirstParagraph"/>
      </w:pPr>
      <w:r>
        <w:t xml:space="preserve">The GHG Protocol\'s Land Sector and Removals (LSR) Standard was published on January 30, 2026, and is effective from January 1, 2027. This standard provides accounting requirements for land-related emissions and CO2 removals, particularly for entities with significant land sector activities or those choosing to report CO2 removals. For \'ellwgjewjp\', a manufactured electronic product, direct land use emissions or removals are generally not significant unless specific bio-based materials or land-intensive processes (e.g., direct raw material extraction with land-use change) are involved. The guidance for implementing the LSR Standard is expected in Q2 2026. While acknowledged, its direct quantitative impact on this specific product\'s PCF is considered minimal for this version of the analysis, but the framework ensures future compliance for any relevant land-based activities in the supply chain.</w:t>
      </w:r>
    </w:p>
    <w:bookmarkEnd w:id="38"/>
    <w:bookmarkStart w:id="39" w:name="scope-3-compliance-95-coverage"/>
    <w:p>
      <w:pPr>
        <w:pStyle w:val="Heading4"/>
      </w:pPr>
      <w:r>
        <w:t xml:space="preserve">Scope 3 Compliance (95% Coverage)</w:t>
      </w:r>
    </w:p>
    <w:p>
      <w:pPr>
        <w:pStyle w:val="FirstParagraph"/>
      </w:pPr>
      <w:r>
        <w:t xml:space="preserve">The GHG Protocol\'s March 2026 update for the Scope 3 Standard proposes a mandatory 95% coverage threshold for all *required* Scope 3 emissions (Categories 1-15), with any exclusions limited to 5% and requiring quantification and justification. This analysis is designed to meet this requirement by incorporating all material Scope 3 categories relevant to \'ellwgjewjp\'s lifecycle, including materials, manufacturing energy (upstream for suppliers), distribution, use phase, and end-of-life. This comprehensive approach ensures a robust and compliant Scope 3 inventory.</w:t>
      </w:r>
    </w:p>
    <w:bookmarkEnd w:id="39"/>
    <w:bookmarkStart w:id="45" w:name="detailed-calculation-breakdown"/>
    <w:p>
      <w:pPr>
        <w:pStyle w:val="Heading4"/>
      </w:pPr>
      <w:r>
        <w:t xml:space="preserve">Detailed Calculation Breakdown</w:t>
      </w:r>
    </w:p>
    <w:bookmarkStart w:id="40" w:name="Xd152776576abde1afef60b1fce8dc98dcc19f0c"/>
    <w:p>
      <w:pPr>
        <w:pStyle w:val="Heading5"/>
      </w:pPr>
      <w:r>
        <w:t xml:space="preserve">Material Emissions (Scope 3, Category 1 - Purchased Goods and Services)</w:t>
      </w:r>
    </w:p>
    <w:p>
      <w:pPr>
        <w:pStyle w:val="FirstParagraph"/>
      </w:pPr>
      <w:r>
        <w:t xml:space="preserve">Based on the BOM and assigned emission factors:</w:t>
      </w:r>
    </w:p>
    <w:p>
      <w:pPr>
        <w:numPr>
          <w:ilvl w:val="0"/>
          <w:numId w:val="1010"/>
        </w:numPr>
        <w:pStyle w:val="Compact"/>
      </w:pPr>
      <w:r>
        <w:t xml:space="preserve">Plastic Casing: 0.15 kg * 2.5 kg CO2e/kg = 0.375 kg CO2e</w:t>
      </w:r>
    </w:p>
    <w:p>
      <w:pPr>
        <w:numPr>
          <w:ilvl w:val="0"/>
          <w:numId w:val="1010"/>
        </w:numPr>
        <w:pStyle w:val="Compact"/>
      </w:pPr>
      <w:r>
        <w:t xml:space="preserve">Circuit Board: 0.05 kg * 15.0 kg CO2e/kg = 0.750 kg CO2e</w:t>
      </w:r>
    </w:p>
    <w:p>
      <w:pPr>
        <w:numPr>
          <w:ilvl w:val="0"/>
          <w:numId w:val="1010"/>
        </w:numPr>
        <w:pStyle w:val="Compact"/>
      </w:pPr>
      <w:r>
        <w:t xml:space="preserve">Copper Wire: 0.02 kg * 3.5 kg CO2e/kg = 0.070 kg CO2e</w:t>
      </w:r>
    </w:p>
    <w:p>
      <w:pPr>
        <w:numPr>
          <w:ilvl w:val="0"/>
          <w:numId w:val="1010"/>
        </w:numPr>
        <w:pStyle w:val="Compact"/>
      </w:pPr>
      <w:r>
        <w:t xml:space="preserve">Lithium Battery: 0.03 kg * 18.0 kg CO2e/kg = 0.540 kg CO2e</w:t>
      </w:r>
    </w:p>
    <w:p>
      <w:pPr>
        <w:numPr>
          <w:ilvl w:val="0"/>
          <w:numId w:val="1010"/>
        </w:numPr>
        <w:pStyle w:val="Compact"/>
      </w:pPr>
      <w:r>
        <w:t xml:space="preserve">Packaging (Cardboard): 0.08 kg * 1.0 kg CO2e/kg = 0.080 kg CO2e</w:t>
      </w:r>
    </w:p>
    <w:p>
      <w:pPr>
        <w:numPr>
          <w:ilvl w:val="0"/>
          <w:numId w:val="1010"/>
        </w:numPr>
        <w:pStyle w:val="Compact"/>
      </w:pPr>
      <w:r>
        <w:rPr>
          <w:bCs/>
          <w:b/>
        </w:rPr>
        <w:t xml:space="preserve">Total Material Emissions: 1.815 kg CO2e</w:t>
      </w:r>
    </w:p>
    <w:bookmarkEnd w:id="40"/>
    <w:bookmarkStart w:id="41" w:name="X7d2476c9df474144d6e2ec6fe5219d8825fcc2c"/>
    <w:p>
      <w:pPr>
        <w:pStyle w:val="Heading5"/>
      </w:pPr>
      <w:r>
        <w:t xml:space="preserve">Production Energy Emissions (Scope 2 - Purchased Electricity)</w:t>
      </w:r>
    </w:p>
    <w:p>
      <w:pPr>
        <w:numPr>
          <w:ilvl w:val="0"/>
          <w:numId w:val="1011"/>
        </w:numPr>
        <w:pStyle w:val="Compact"/>
      </w:pPr>
      <w:r>
        <w:t xml:space="preserve">Total Energy Demand: 18 kWh/unit</w:t>
      </w:r>
    </w:p>
    <w:p>
      <w:pPr>
        <w:numPr>
          <w:ilvl w:val="0"/>
          <w:numId w:val="1011"/>
        </w:numPr>
        <w:pStyle w:val="Compact"/>
      </w:pPr>
      <w:r>
        <w:t xml:space="preserve">Renewable Energy Usage: 60% (10.8 kWh) - 0 kg CO2e emissions</w:t>
      </w:r>
    </w:p>
    <w:p>
      <w:pPr>
        <w:numPr>
          <w:ilvl w:val="0"/>
          <w:numId w:val="1011"/>
        </w:numPr>
        <w:pStyle w:val="Compact"/>
      </w:pPr>
      <w:r>
        <w:t xml:space="preserve">Non-renewable Energy: 18 kWh * (1 - 0.60) = 7.2 kWh</w:t>
      </w:r>
    </w:p>
    <w:p>
      <w:pPr>
        <w:numPr>
          <w:ilvl w:val="0"/>
          <w:numId w:val="1011"/>
        </w:numPr>
        <w:pStyle w:val="Compact"/>
      </w:pPr>
      <w:r>
        <w:t xml:space="preserve">Chinese Grid Emission Factor: 0.6 kg CO2e/kWh</w:t>
      </w:r>
    </w:p>
    <w:p>
      <w:pPr>
        <w:numPr>
          <w:ilvl w:val="0"/>
          <w:numId w:val="1011"/>
        </w:numPr>
        <w:pStyle w:val="Compact"/>
      </w:pPr>
      <w:r>
        <w:rPr>
          <w:bCs/>
          <w:b/>
        </w:rPr>
        <w:t xml:space="preserve">Emissions from Non-renewable Energy:</w:t>
      </w:r>
      <w:r>
        <w:t xml:space="preserve"> </w:t>
      </w:r>
      <w:r>
        <w:t xml:space="preserve">7.2 kWh * 0.6 kg CO2e/kWh =</w:t>
      </w:r>
      <w:r>
        <w:t xml:space="preserve"> </w:t>
      </w:r>
      <w:r>
        <w:rPr>
          <w:bCs/>
          <w:b/>
        </w:rPr>
        <w:t xml:space="preserve">4.32 kg CO2e</w:t>
      </w:r>
    </w:p>
    <w:bookmarkEnd w:id="41"/>
    <w:bookmarkStart w:id="42" w:name="X650000c02b582bf22050945ebeb1c9daafb60d4"/>
    <w:p>
      <w:pPr>
        <w:pStyle w:val="Heading5"/>
      </w:pPr>
      <w:r>
        <w:t xml:space="preserve">Distribution Transport Emissions (Scope 3, Category 9 - Downstream Transportation and Distribution)</w:t>
      </w:r>
    </w:p>
    <w:p>
      <w:pPr>
        <w:pStyle w:val="FirstParagraph"/>
      </w:pPr>
      <w:r>
        <w:t xml:space="preserve">Total Product Weight: 0.33 kg = 0.00033 tonnes</w:t>
      </w:r>
    </w:p>
    <w:p>
      <w:pPr>
        <w:numPr>
          <w:ilvl w:val="0"/>
          <w:numId w:val="1012"/>
        </w:numPr>
        <w:pStyle w:val="Compact"/>
      </w:pPr>
      <w:r>
        <w:t xml:space="preserve">Ocean Freight:</w:t>
      </w:r>
    </w:p>
    <w:p>
      <w:pPr>
        <w:numPr>
          <w:ilvl w:val="1"/>
          <w:numId w:val="1013"/>
        </w:numPr>
        <w:pStyle w:val="Compact"/>
      </w:pPr>
      <w:r>
        <w:t xml:space="preserve">Distance: 12,000 km</w:t>
      </w:r>
    </w:p>
    <w:p>
      <w:pPr>
        <w:numPr>
          <w:ilvl w:val="1"/>
          <w:numId w:val="1013"/>
        </w:numPr>
        <w:pStyle w:val="Compact"/>
      </w:pPr>
      <w:r>
        <w:t xml:space="preserve">Emission Factor: 0.016 kg CO2e/tonne-km</w:t>
      </w:r>
    </w:p>
    <w:p>
      <w:pPr>
        <w:numPr>
          <w:ilvl w:val="1"/>
          <w:numId w:val="1013"/>
        </w:numPr>
        <w:pStyle w:val="Compact"/>
      </w:pPr>
      <w:r>
        <w:t xml:space="preserve">Emissions: 0.00033 tonnes * 12,000 km * 0.016 kg CO2e/tonne-km = 0.06336 kg CO2e</w:t>
      </w:r>
    </w:p>
    <w:p>
      <w:pPr>
        <w:numPr>
          <w:ilvl w:val="0"/>
          <w:numId w:val="1012"/>
        </w:numPr>
        <w:pStyle w:val="Compact"/>
      </w:pPr>
      <w:r>
        <w:t xml:space="preserve">Road Freight (Last-Mile Delivery):</w:t>
      </w:r>
    </w:p>
    <w:p>
      <w:pPr>
        <w:numPr>
          <w:ilvl w:val="1"/>
          <w:numId w:val="1014"/>
        </w:numPr>
        <w:pStyle w:val="Compact"/>
      </w:pPr>
      <w:r>
        <w:t xml:space="preserve">Distance: 800 km</w:t>
      </w:r>
    </w:p>
    <w:p>
      <w:pPr>
        <w:numPr>
          <w:ilvl w:val="1"/>
          <w:numId w:val="1014"/>
        </w:numPr>
        <w:pStyle w:val="Compact"/>
      </w:pPr>
      <w:r>
        <w:t xml:space="preserve">Emission Factor: 0.09 kg CO2e/tonne-km (based on general road freight factors)</w:t>
      </w:r>
    </w:p>
    <w:p>
      <w:pPr>
        <w:numPr>
          <w:ilvl w:val="1"/>
          <w:numId w:val="1014"/>
        </w:numPr>
        <w:pStyle w:val="Compact"/>
      </w:pPr>
      <w:r>
        <w:t xml:space="preserve">Emissions: 0.00033 tonnes * 800 km * 0.09 kg CO2e/tonne-km = 0.02376 kg CO2e</w:t>
      </w:r>
    </w:p>
    <w:p>
      <w:pPr>
        <w:numPr>
          <w:ilvl w:val="0"/>
          <w:numId w:val="1012"/>
        </w:numPr>
        <w:pStyle w:val="Compact"/>
      </w:pPr>
      <w:r>
        <w:rPr>
          <w:bCs/>
          <w:b/>
        </w:rPr>
        <w:t xml:space="preserve">Total Distribution Transport Emissions: 0.06336 + 0.02376 = 0.08712 kg CO2e</w:t>
      </w:r>
    </w:p>
    <w:bookmarkEnd w:id="42"/>
    <w:bookmarkStart w:id="43" w:name="X6421c938dd7e5cb731724b1ba3c67e4f5efecf9"/>
    <w:p>
      <w:pPr>
        <w:pStyle w:val="Heading5"/>
      </w:pPr>
      <w:r>
        <w:t xml:space="preserve">Use Phase Emissions (Scope 3, Category 11 - Use of Sold Products)</w:t>
      </w:r>
    </w:p>
    <w:p>
      <w:pPr>
        <w:numPr>
          <w:ilvl w:val="0"/>
          <w:numId w:val="1015"/>
        </w:numPr>
        <w:pStyle w:val="Compact"/>
      </w:pPr>
      <w:r>
        <w:t xml:space="preserve">Product Lifespan: 7 years</w:t>
      </w:r>
    </w:p>
    <w:p>
      <w:pPr>
        <w:numPr>
          <w:ilvl w:val="0"/>
          <w:numId w:val="1015"/>
        </w:numPr>
        <w:pStyle w:val="Compact"/>
      </w:pPr>
      <w:r>
        <w:t xml:space="preserve">Energy Consumption in Use: 4 kWh/year</w:t>
      </w:r>
    </w:p>
    <w:p>
      <w:pPr>
        <w:numPr>
          <w:ilvl w:val="0"/>
          <w:numId w:val="1015"/>
        </w:numPr>
        <w:pStyle w:val="Compact"/>
      </w:pPr>
      <w:r>
        <w:t xml:space="preserve">Total Energy over Lifespan: 7 years * 4 kWh/year = 28 kWh/unit</w:t>
      </w:r>
    </w:p>
    <w:p>
      <w:pPr>
        <w:numPr>
          <w:ilvl w:val="0"/>
          <w:numId w:val="1015"/>
        </w:numPr>
        <w:pStyle w:val="Compact"/>
      </w:pPr>
      <w:r>
        <w:t xml:space="preserve">EU Average Grid Emission Factor: 0.25 kg CO2e/kWh (assumed average)</w:t>
      </w:r>
    </w:p>
    <w:p>
      <w:pPr>
        <w:numPr>
          <w:ilvl w:val="0"/>
          <w:numId w:val="1015"/>
        </w:numPr>
        <w:pStyle w:val="Compact"/>
      </w:pPr>
      <w:r>
        <w:rPr>
          <w:bCs/>
          <w:b/>
        </w:rPr>
        <w:t xml:space="preserve">Emissions:</w:t>
      </w:r>
      <w:r>
        <w:t xml:space="preserve"> </w:t>
      </w:r>
      <w:r>
        <w:t xml:space="preserve">28 kWh * 0.25 kg CO2e/kWh =</w:t>
      </w:r>
      <w:r>
        <w:t xml:space="preserve"> </w:t>
      </w:r>
      <w:r>
        <w:rPr>
          <w:bCs/>
          <w:b/>
        </w:rPr>
        <w:t xml:space="preserve">7.0 kg CO2e</w:t>
      </w:r>
    </w:p>
    <w:bookmarkEnd w:id="43"/>
    <w:bookmarkStart w:id="44" w:name="Xe2e13a8f65c17e1ac66b0d841462be7a19c1c25"/>
    <w:p>
      <w:pPr>
        <w:pStyle w:val="Heading5"/>
      </w:pPr>
      <w:r>
        <w:t xml:space="preserve">End-of-Life (EoL) Emissions (Scope 3, Category 12 - End-of-Life Treatment of Sold Products)</w:t>
      </w:r>
    </w:p>
    <w:p>
      <w:pPr>
        <w:pStyle w:val="FirstParagraph"/>
      </w:pPr>
      <w:r>
        <w:t xml:space="preserve">Total Material Weight: 0.33 kg</w:t>
      </w:r>
    </w:p>
    <w:p>
      <w:pPr>
        <w:numPr>
          <w:ilvl w:val="0"/>
          <w:numId w:val="1016"/>
        </w:numPr>
        <w:pStyle w:val="Compact"/>
      </w:pPr>
      <w:r>
        <w:t xml:space="preserve">Recyclability Percentage: 75%</w:t>
      </w:r>
    </w:p>
    <w:p>
      <w:pPr>
        <w:numPr>
          <w:ilvl w:val="0"/>
          <w:numId w:val="1016"/>
        </w:numPr>
        <w:pStyle w:val="Compact"/>
      </w:pPr>
      <w:r>
        <w:t xml:space="preserve">Material Recycled: 0.33 kg * 0.75 = 0.2475 kg</w:t>
      </w:r>
    </w:p>
    <w:p>
      <w:pPr>
        <w:numPr>
          <w:ilvl w:val="0"/>
          <w:numId w:val="1016"/>
        </w:numPr>
        <w:pStyle w:val="Compact"/>
      </w:pPr>
      <w:r>
        <w:t xml:space="preserve">Material Disposed: 0.33 kg * (1 - 0.75) = 0.0825 kg</w:t>
      </w:r>
    </w:p>
    <w:p>
      <w:pPr>
        <w:numPr>
          <w:ilvl w:val="0"/>
          <w:numId w:val="1016"/>
        </w:numPr>
        <w:pStyle w:val="Compact"/>
      </w:pPr>
      <w:r>
        <w:t xml:space="preserve">Emissions from Disposal (e.g., landfill/incineration for non-recycled portion, general factor): 0.0825 kg * 0.8 kg CO2e/kg = 0.066 kg CO2e</w:t>
      </w:r>
    </w:p>
    <w:p>
      <w:pPr>
        <w:numPr>
          <w:ilvl w:val="0"/>
          <w:numId w:val="1016"/>
        </w:numPr>
        <w:pStyle w:val="Compact"/>
      </w:pPr>
      <w:r>
        <w:t xml:space="preserve">Avoided Emissions from Recycling (credit for recycled materials, e.g., mixed materials): 0.2475 kg * (-1.2 kg CO2e/kg) = -0.297 kg CO2e</w:t>
      </w:r>
    </w:p>
    <w:p>
      <w:pPr>
        <w:numPr>
          <w:ilvl w:val="0"/>
          <w:numId w:val="1016"/>
        </w:numPr>
        <w:pStyle w:val="Compact"/>
      </w:pPr>
      <w:r>
        <w:rPr>
          <w:bCs/>
          <w:b/>
        </w:rPr>
        <w:t xml:space="preserve">Total End-of-Life Emissions: 0.066 - 0.297 = -0.231 kg CO2e</w:t>
      </w:r>
      <w:r>
        <w:t xml:space="preserve"> </w:t>
      </w:r>
      <w:r>
        <w:t xml:space="preserve">(net benefit due to high recyclability and circular programs)</w:t>
      </w:r>
    </w:p>
    <w:bookmarkEnd w:id="44"/>
    <w:bookmarkEnd w:id="45"/>
    <w:bookmarkStart w:id="46" w:name="summary-of-emissions-by-scope-and-stage"/>
    <w:p>
      <w:pPr>
        <w:pStyle w:val="Heading4"/>
      </w:pPr>
      <w:r>
        <w:t xml:space="preserve">Summary of Emissions by Scope and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Scope/Category</w:t>
            </w:r>
          </w:p>
        </w:tc>
        <w:tc>
          <w:tcPr/>
          <w:p>
            <w:pPr>
              <w:pStyle w:val="Compact"/>
              <w:jc w:val="left"/>
            </w:pPr>
            <w:r>
              <w:t xml:space="preserve">Lifecycle Stage</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Operations (assumed negligible for product manufacturing)</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4.320</w:t>
            </w:r>
          </w:p>
        </w:tc>
      </w:tr>
      <w:tr>
        <w:tc>
          <w:tcPr/>
          <w:p>
            <w:pPr>
              <w:pStyle w:val="Compact"/>
              <w:jc w:val="left"/>
            </w:pPr>
            <w:r>
              <w:t xml:space="preserve">Scope 3, Category 1</w:t>
            </w:r>
          </w:p>
        </w:tc>
        <w:tc>
          <w:tcPr/>
          <w:p>
            <w:pPr>
              <w:pStyle w:val="Compact"/>
              <w:jc w:val="left"/>
            </w:pPr>
            <w:r>
              <w:t xml:space="preserve">Purchased Goods &amp; Services (Materials)</w:t>
            </w:r>
          </w:p>
        </w:tc>
        <w:tc>
          <w:tcPr/>
          <w:p>
            <w:pPr>
              <w:pStyle w:val="Compact"/>
              <w:jc w:val="left"/>
            </w:pPr>
            <w:r>
              <w:t xml:space="preserve">1.815</w:t>
            </w:r>
          </w:p>
        </w:tc>
      </w:tr>
      <w:tr>
        <w:tc>
          <w:tcPr/>
          <w:p>
            <w:pPr>
              <w:pStyle w:val="Compact"/>
              <w:jc w:val="left"/>
            </w:pPr>
            <w:r>
              <w:t xml:space="preserve">Scope 3, Category 9</w:t>
            </w:r>
          </w:p>
        </w:tc>
        <w:tc>
          <w:tcPr/>
          <w:p>
            <w:pPr>
              <w:pStyle w:val="Compact"/>
              <w:jc w:val="left"/>
            </w:pPr>
            <w:r>
              <w:t xml:space="preserve">Downstream Transportation &amp; Distribution</w:t>
            </w:r>
          </w:p>
        </w:tc>
        <w:tc>
          <w:tcPr/>
          <w:p>
            <w:pPr>
              <w:pStyle w:val="Compact"/>
              <w:jc w:val="left"/>
            </w:pPr>
            <w:r>
              <w:t xml:space="preserve">0.087</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7.000</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-0.231</w:t>
            </w:r>
          </w:p>
        </w:tc>
      </w:tr>
      <w:tr>
        <w:tc>
          <w:tcPr>
            <w:gridSpan w:val="2"/>
          </w:tcPr>
          <w:p>
            <w:pPr>
              <w:pStyle w:val="Compact"/>
              <w:jc w:val="right"/>
            </w:pPr>
            <w:r>
              <w:rPr>
                <w:bCs/>
                <w:b/>
              </w:rPr>
              <w:t xml:space="preserve">Total Lifecycle Product Carbon Footprint:</w:t>
            </w:r>
          </w:p>
        </w:tc>
        <w:tc>
          <w:tcPr/>
          <w:p>
            <w:pPr>
              <w:pStyle w:val="Compact"/>
              <w:jc w:val="left"/>
            </w:pPr>
            <w:r>
              <w:rPr>
                <w:bCs/>
                <w:b/>
              </w:rPr>
              <w:t xml:space="preserve">12.971 kg CO2e</w:t>
            </w:r>
          </w:p>
        </w:tc>
      </w:tr>
    </w:tbl>
    <w:bookmarkEnd w:id="46"/>
    <w:bookmarkEnd w:id="47"/>
    <w:bookmarkStart w:id="48" w:name="review-reporting"/>
    <w:p>
      <w:pPr>
        <w:pStyle w:val="Heading3"/>
      </w:pPr>
      <w:r>
        <w:t xml:space="preserve">4. Review &amp; Reporting</w:t>
      </w:r>
    </w:p>
    <w:p>
      <w:pPr>
        <w:pStyle w:val="FirstParagraph"/>
      </w:pPr>
      <w:r>
        <w:rPr>
          <w:bCs/>
          <w:b/>
        </w:rPr>
        <w:t xml:space="preserve">Hotspots:</w:t>
      </w:r>
      <w:r>
        <w:t xml:space="preserve"> </w:t>
      </w:r>
      <w:r>
        <w:t xml:space="preserve">The primary hotspots for \'ellwgjewjp\' are identified in the use phase (7.0 kg CO2e) due to electricity consumption over its lifespan and the manufacturing phase (4.32 kg CO2e for purchased electricity). Materials also contribute significantly (1.82 kg CO2e).</w:t>
      </w:r>
    </w:p>
    <w:p>
      <w:pPr>
        <w:pStyle w:val="BodyText"/>
      </w:pPr>
      <w:r>
        <w:rPr>
          <w:bCs/>
          <w:b/>
        </w:rPr>
        <w:t xml:space="preserve">Reliability:</w:t>
      </w:r>
      <w:r>
        <w:t xml:space="preserve"> </w:t>
      </w:r>
      <w:r>
        <w:t xml:space="preserve">The calculations are based on the provided parameters and industry-standard emission factors from reputable sources (e.g., Climatiq, DEFRA, IEA for grid electricity). While generic factors are used for some processes due to the nature of the placeholder data, these are chosen to be representative. Primary data, where specified, is directly incorporated. The analysis assumes stable energy mixes and consistent operational efficiencies over the product lifespan for the use phase, which may vary in reality.</w:t>
      </w:r>
    </w:p>
    <w:p>
      <w:r>
        <w:pict>
          <v:rect style="width:0;height:1.5pt" o:hralign="center" o:hrstd="t" o:hr="t"/>
        </w:pict>
      </w:r>
    </w:p>
    <w:bookmarkEnd w:id="48"/>
    <w:bookmarkEnd w:id="49"/>
    <w:bookmarkStart w:id="52" w:name="conclusion"/>
    <w:p>
      <w:pPr>
        <w:pStyle w:val="Heading2"/>
      </w:pPr>
      <w:r>
        <w:t xml:space="preserve">Conclusion</w:t>
      </w:r>
    </w:p>
    <w:p>
      <w:pPr>
        <w:pStyle w:val="FirstParagraph"/>
      </w:pPr>
      <w:r>
        <w:t xml:space="preserve">The Product Carbon Footprint for \'ellwgjewjp\' is determined to be approximately 12.97 kg CO2e per unit over its entire lifecycle. This comprehensive analysis, conducted under the GHG Protocol, highlights that the use phase and manufacturing energy are the dominant contributors to the product\'s environmental impact. The significant recycling percentage and circular programs demonstrate fwrrtnghok\'s commitment to circular economy principles, leading to a net carbon benefit at the end-of-life stage.</w:t>
      </w:r>
    </w:p>
    <w:p>
      <w:pPr>
        <w:pStyle w:val="BodyText"/>
      </w:pPr>
      <w:r>
        <w:t xml:space="preserve">To further reduce the PCF of \'ellwgjewjp\', fwrrtnghok should focus on:</w:t>
      </w:r>
    </w:p>
    <w:p>
      <w:pPr>
        <w:numPr>
          <w:ilvl w:val="0"/>
          <w:numId w:val="1017"/>
        </w:numPr>
        <w:pStyle w:val="Compact"/>
      </w:pPr>
      <w:r>
        <w:t xml:space="preserve">Enhancing energy efficiency during the product\'s use phase.</w:t>
      </w:r>
    </w:p>
    <w:p>
      <w:pPr>
        <w:numPr>
          <w:ilvl w:val="0"/>
          <w:numId w:val="1017"/>
        </w:numPr>
        <w:pStyle w:val="Compact"/>
      </w:pPr>
      <w:r>
        <w:t xml:space="preserve">Increasing the use of renewable energy sources in manufacturing operations in China.</w:t>
      </w:r>
    </w:p>
    <w:p>
      <w:pPr>
        <w:numPr>
          <w:ilvl w:val="0"/>
          <w:numId w:val="1017"/>
        </w:numPr>
        <w:pStyle w:val="Compact"/>
      </w:pPr>
      <w:r>
        <w:t xml:space="preserve">Exploring lower-carbon alternatives for high-impact materials, particularly electronic components.</w:t>
      </w:r>
    </w:p>
    <w:p>
      <w:pPr>
        <w:numPr>
          <w:ilvl w:val="0"/>
          <w:numId w:val="1017"/>
        </w:numPr>
        <w:pStyle w:val="Compact"/>
      </w:pPr>
      <w:r>
        <w:t xml:space="preserve">Optimizing logistics for distribution to minimize transport emissions.</w:t>
      </w:r>
    </w:p>
    <w:p>
      <w:pPr>
        <w:pStyle w:val="FirstParagraph"/>
      </w:pPr>
      <w:r>
        <w:t xml:space="preserve">This report serves as a baseline for continuous improvement and strategic decision-making in fwrrtnghok\'s sustainability journey.</w:t>
      </w:r>
    </w:p>
    <w:p>
      <w:pPr>
        <w:pStyle w:val="BodyText"/>
      </w:pPr>
      <w:r>
        <w:t xml:space="preserve">Confidential - Internal Use Only</w:t>
      </w:r>
    </w:p>
    <w:p>
      <w:pPr>
        <w:pStyle w:val="BodyText"/>
      </w:pPr>
      <w:r>
        <w:t xml:space="preserve">Page</w:t>
      </w:r>
      <w:r>
        <w:t xml:space="preserve"> </w:t>
      </w:r>
      <w:bookmarkStart w:id="50" w:name="page-number"/>
      <w:bookmarkEnd w:id="50"/>
      <w:r>
        <w:t xml:space="preserve"> </w:t>
      </w:r>
      <w:r>
        <w:t xml:space="preserve">of</w:t>
      </w:r>
      <w:r>
        <w:t xml:space="preserve"> </w:t>
      </w:r>
      <w:bookmarkStart w:id="51" w:name="total-pages"/>
      <w:bookmarkEnd w:id="51"/>
    </w:p>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ellwgjewjp</dc:title>
  <dc:creator/>
  <dc:description>Detailed Product Carbon Footprint (PCF) analysis report for ellwgjewjp, performed by Senior Sustainability Consultant tzqyusnygx for fwrrtnghok, adhering to GHG Protocol standards and 2026 updates.</dc:description>
  <dc:language>en</dc:language>
  <cp:keywords/>
  <dcterms:created xsi:type="dcterms:W3CDTF">2026-07-15T06:02:37Z</dcterms:created>
  <dcterms:modified xsi:type="dcterms:W3CDTF">2026-07-15T06:02:37Z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