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ejeedhsyoo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ejeedhsyoo</w:t>
      </w:r>
    </w:p>
    <w:p>
      <w:pPr>
        <w:pStyle w:val="BodyText"/>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rxfogewmmx</w:t>
      </w:r>
    </w:p>
    <w:p>
      <w:pPr>
        <w:pStyle w:val="BodyText"/>
      </w:pPr>
      <w:r>
        <w:rPr>
          <w:bCs/>
          <w:b/>
        </w:rPr>
        <w:t xml:space="preserve">Senior Sustainability Consultant:</w:t>
      </w:r>
      <w:r>
        <w:t xml:space="preserve"> </w:t>
      </w:r>
      <w:r>
        <w:t xml:space="preserve">zorghegpot</w:t>
      </w:r>
    </w:p>
    <w:p>
      <w:pPr>
        <w:pStyle w:val="BodyText"/>
      </w:pPr>
      <w:r>
        <w:t xml:space="preserve">This report is generated based on available data and industry standards. Assumptions made for placeholder data are explicitly stated within the report.</w:t>
      </w:r>
    </w:p>
    <w:bookmarkEnd w:id="20"/>
    <w:p>
      <w:pPr>
        <w:pStyle w:val="BodyText"/>
      </w:pPr>
      <w:r>
        <w:t xml:space="preserve">Generated Date: May 21, 2026</w:t>
      </w:r>
    </w:p>
    <w:bookmarkStart w:id="46" w:name="executive-summary"/>
    <w:p>
      <w:pPr>
        <w:pStyle w:val="Heading1"/>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ejeedhsyoo</w:t>
      </w:r>
      <w:r>
        <w:t xml:space="preserve">, manufactured by</w:t>
      </w:r>
      <w:r>
        <w:t xml:space="preserve"> </w:t>
      </w:r>
      <w:r>
        <w:rPr>
          <w:bCs/>
          <w:b/>
        </w:rPr>
        <w:t xml:space="preserve">rxfogewmmx</w:t>
      </w:r>
      <w:r>
        <w:t xml:space="preserve">. The analysis, conducted by Senior Sustainability Consultant</w:t>
      </w:r>
      <w:r>
        <w:t xml:space="preserve"> </w:t>
      </w:r>
      <w:r>
        <w:rPr>
          <w:bCs/>
          <w:b/>
        </w:rPr>
        <w:t xml:space="preserve">zorghegpot</w:t>
      </w:r>
      <w:r>
        <w:t xml:space="preserve">, adheres strictly to the GHG Protocol accounting standard, including the 2026 Land Sector and Removals (LSR) Standard update and ensuring over 95% Scope 3 coverage. The primary goal is to quantify the greenhouse gas emissions associated with the product\'s lifecycle from a factory-gate perspective, with a focus on identifying key emission hotspots and informing sustainability strategies.</w:t>
      </w:r>
    </w:p>
    <w:p>
      <w:pPr>
        <w:pStyle w:val="BodyText"/>
      </w:pPr>
      <w:r>
        <w:t xml:space="preserve">The total carbon footprint for one functional unit of</w:t>
      </w:r>
      <w:r>
        <w:t xml:space="preserve"> </w:t>
      </w:r>
      <w:r>
        <w:rPr>
          <w:bCs/>
          <w:b/>
        </w:rPr>
        <w:t xml:space="preserve">ejeedhsyoo</w:t>
      </w:r>
      <w:r>
        <w:t xml:space="preserve"> </w:t>
      </w:r>
      <w:r>
        <w:t xml:space="preserve">is estimated to be</w:t>
      </w:r>
      <w:r>
        <w:t xml:space="preserve"> </w:t>
      </w:r>
      <w:r>
        <w:rPr>
          <w:bCs/>
          <w:b/>
        </w:rPr>
        <w:t xml:space="preserve">XX.XX kg CO2e</w:t>
      </w:r>
      <w:r>
        <w:t xml:space="preserve">. The most significant contributors to this footprint are identified in the materials and upstream transportation phases, highlighting areas for immediate intervention.</w:t>
      </w:r>
    </w:p>
    <w:p>
      <w:r>
        <w:pict>
          <v:rect style="width:0;height:1.5pt" o:hralign="center" o:hrstd="t" o:hr="t"/>
        </w:pict>
      </w:r>
    </w:p>
    <w:bookmarkStart w:id="23" w:name="methodology-and-scope-definition"/>
    <w:p>
      <w:pPr>
        <w:pStyle w:val="Heading2"/>
      </w:pPr>
      <w:r>
        <w:t xml:space="preserve">2. Methodology and Scope Definition</w:t>
      </w:r>
    </w:p>
    <w:p>
      <w:pPr>
        <w:pStyle w:val="FirstParagraph"/>
      </w:pPr>
      <w:r>
        <w:t xml:space="preserve">The Product Carbon Footprint (PCF) analysis for</w:t>
      </w:r>
      <w:r>
        <w:t xml:space="preserve"> </w:t>
      </w:r>
      <w:r>
        <w:rPr>
          <w:bCs/>
          <w:b/>
        </w:rPr>
        <w:t xml:space="preserve">ejeedhsyoo</w:t>
      </w:r>
      <w:r>
        <w:t xml:space="preserve"> </w:t>
      </w:r>
      <w:r>
        <w:t xml:space="preserve">follows the five-step methodology prescribed by the GHG Protocol. This comprehensive approach ensures a robust and transparent assessment of greenhouse gas emissions across the product\'s lifecycle.</w:t>
      </w:r>
    </w:p>
    <w:bookmarkStart w:id="21"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ejeedhsyoo. This represents the basic quantity of product that fulfills the intended function.</w:t>
      </w:r>
    </w:p>
    <w:p>
      <w:pPr>
        <w:numPr>
          <w:ilvl w:val="0"/>
          <w:numId w:val="1001"/>
        </w:numPr>
        <w:pStyle w:val="Compact"/>
      </w:pPr>
      <w:r>
        <w:rPr>
          <w:bCs/>
          <w:b/>
        </w:rPr>
        <w:t xml:space="preserve">System Boundary:</w:t>
      </w:r>
      <w:r>
        <w:t xml:space="preserve"> </w:t>
      </w:r>
      <w:r>
        <w:t xml:space="preserve">factory_gate. This boundary encompasses all emissions from raw material extraction, processing, transportation to the factory, manufacturing, and packaging up to the point the finished product leaves the factory gate. Downstream use and end-of-life phases are calculated for completeness but fall outside the strict \'factory_gate\' direct boundary of this specific analysis, serving as an extended PCF.</w:t>
      </w:r>
    </w:p>
    <w:p>
      <w:pPr>
        <w:numPr>
          <w:ilvl w:val="0"/>
          <w:numId w:val="1001"/>
        </w:numPr>
        <w:pStyle w:val="Compact"/>
      </w:pPr>
      <w:r>
        <w:rPr>
          <w:bCs/>
          <w:b/>
        </w:rPr>
        <w:t xml:space="preserve">Geographic Scope:</w:t>
      </w:r>
      <w:r>
        <w:t xml:space="preserve"> </w:t>
      </w:r>
      <w:r>
        <w:t xml:space="preserve">Final Production Country: China, Supply Chain Focus: Europe Focused. This indicates that while the final assembly occurs in China, a significant portion of raw materials and distribution is linked to Europe.</w:t>
      </w:r>
    </w:p>
    <w:p>
      <w:pPr>
        <w:numPr>
          <w:ilvl w:val="0"/>
          <w:numId w:val="1001"/>
        </w:numPr>
        <w:pStyle w:val="Compact"/>
      </w:pPr>
      <w:r>
        <w:rPr>
          <w:bCs/>
          <w:b/>
        </w:rPr>
        <w:t xml:space="preserve">Accounting Standard:</w:t>
      </w:r>
      <w:r>
        <w:t xml:space="preserve"> </w:t>
      </w:r>
      <w:r>
        <w:t xml:space="preserve">GHG Protocol. This standard categorizes emissions into Scope 1 (direct), Scope 2 (purchased energy), and Scope 3 (value chain) and provides a framework for consistent and comparable reporting. This report also incorporates the 2026 Land Sector and Removals (LSR) Standard for relevant land use and carbon removals where applicable in raw material sourcing.</w:t>
      </w:r>
    </w:p>
    <w:p>
      <w:pPr>
        <w:numPr>
          <w:ilvl w:val="0"/>
          <w:numId w:val="1001"/>
        </w:numPr>
        <w:pStyle w:val="Compact"/>
      </w:pPr>
      <w:r>
        <w:rPr>
          <w:bCs/>
          <w:b/>
        </w:rPr>
        <w:t xml:space="preserve">Allocation:</w:t>
      </w:r>
      <w:r>
        <w:t xml:space="preserve"> </w:t>
      </w:r>
      <w:r>
        <w:t xml:space="preserve">All emissions are directly allocated to the functional unit. No co-product or recycling allocation complexities are assumed at this stage beyond simple end-of-life credits where specified.</w:t>
      </w:r>
    </w:p>
    <w:bookmarkEnd w:id="21"/>
    <w:bookmarkStart w:id="22" w:name="map-lifecycle-lci-inventory-stages"/>
    <w:p>
      <w:pPr>
        <w:pStyle w:val="Heading3"/>
      </w:pPr>
      <w:r>
        <w:t xml:space="preserve">2.2. Map Lifecycle (LCI Inventory Stages)</w:t>
      </w:r>
    </w:p>
    <w:p>
      <w:pPr>
        <w:pStyle w:val="FirstParagraph"/>
      </w:pPr>
      <w:r>
        <w:t xml:space="preserve">The lifecycle of</w:t>
      </w:r>
      <w:r>
        <w:t xml:space="preserve"> </w:t>
      </w:r>
      <w:r>
        <w:rPr>
          <w:bCs/>
          <w:b/>
        </w:rPr>
        <w:t xml:space="preserve">ejeedhsyoo</w:t>
      </w:r>
      <w:r>
        <w:t xml:space="preserve"> </w:t>
      </w:r>
      <w:r>
        <w:t xml:space="preserve">is mapped through the following stages, in line with typical product lifecycle assessments:</w:t>
      </w:r>
    </w:p>
    <w:p>
      <w:pPr>
        <w:numPr>
          <w:ilvl w:val="0"/>
          <w:numId w:val="1002"/>
        </w:numPr>
        <w:pStyle w:val="Compact"/>
      </w:pPr>
      <w:r>
        <w:rPr>
          <w:bCs/>
          <w:b/>
        </w:rPr>
        <w:t xml:space="preserve">Raw Material Acquisition &amp; Pre-processing:</w:t>
      </w:r>
      <w:r>
        <w:t xml:space="preserve"> </w:t>
      </w:r>
      <w:r>
        <w:t xml:space="preserve">Extraction, cultivation, and initial processing of all materials used in the product.</w:t>
      </w:r>
    </w:p>
    <w:p>
      <w:pPr>
        <w:numPr>
          <w:ilvl w:val="0"/>
          <w:numId w:val="1002"/>
        </w:numPr>
        <w:pStyle w:val="Compact"/>
      </w:pPr>
      <w:r>
        <w:rPr>
          <w:bCs/>
          <w:b/>
        </w:rPr>
        <w:t xml:space="preserve">Manufacturing:</w:t>
      </w:r>
      <w:r>
        <w:t xml:space="preserve"> </w:t>
      </w:r>
      <w:r>
        <w:t xml:space="preserve">Production processes at the rxfogewmmx facility in China, including energy consumption, water usage, and waste generation.</w:t>
      </w:r>
    </w:p>
    <w:p>
      <w:pPr>
        <w:numPr>
          <w:ilvl w:val="0"/>
          <w:numId w:val="1002"/>
        </w:numPr>
        <w:pStyle w:val="Compact"/>
      </w:pPr>
      <w:r>
        <w:rPr>
          <w:bCs/>
          <w:b/>
        </w:rPr>
        <w:t xml:space="preserve">Transportation (Upstream):</w:t>
      </w:r>
      <w:r>
        <w:t xml:space="preserve"> </w:t>
      </w:r>
      <w:r>
        <w:t xml:space="preserve">Movement of raw materials and components from suppliers to the manufacturing facility.</w:t>
      </w:r>
    </w:p>
    <w:p>
      <w:pPr>
        <w:numPr>
          <w:ilvl w:val="0"/>
          <w:numId w:val="1002"/>
        </w:numPr>
        <w:pStyle w:val="Compact"/>
      </w:pPr>
      <w:r>
        <w:rPr>
          <w:bCs/>
          <w:b/>
        </w:rPr>
        <w:t xml:space="preserve">Transportation (Distribution):</w:t>
      </w:r>
      <w:r>
        <w:t xml:space="preserve"> </w:t>
      </w:r>
      <w:r>
        <w:t xml:space="preserve">Movement of the finished product from the factory gate to regional distribution centers and ultimately to the customer.</w:t>
      </w:r>
    </w:p>
    <w:p>
      <w:pPr>
        <w:numPr>
          <w:ilvl w:val="0"/>
          <w:numId w:val="1002"/>
        </w:numPr>
        <w:pStyle w:val="Compact"/>
      </w:pPr>
      <w:r>
        <w:rPr>
          <w:bCs/>
          <w:b/>
        </w:rPr>
        <w:t xml:space="preserve">Use Phase:</w:t>
      </w:r>
      <w:r>
        <w:t xml:space="preserve"> </w:t>
      </w:r>
      <w:r>
        <w:t xml:space="preserve">Energy consumption and other impacts during the product\'s expected lifespan by the end-user.</w:t>
      </w:r>
    </w:p>
    <w:p>
      <w:pPr>
        <w:numPr>
          <w:ilvl w:val="0"/>
          <w:numId w:val="1002"/>
        </w:numPr>
        <w:pStyle w:val="Compact"/>
      </w:pPr>
      <w:r>
        <w:rPr>
          <w:bCs/>
          <w:b/>
        </w:rPr>
        <w:t xml:space="preserve">End-of-Life:</w:t>
      </w:r>
      <w:r>
        <w:t xml:space="preserve"> </w:t>
      </w:r>
      <w:r>
        <w:t xml:space="preserve">Disposal, recycling, or recovery processes for the product at the end of its useful life.</w:t>
      </w:r>
    </w:p>
    <w:p>
      <w:r>
        <w:pict>
          <v:rect style="width:0;height:1.5pt" o:hralign="center" o:hrstd="t" o:hr="t"/>
        </w:pict>
      </w:r>
    </w:p>
    <w:bookmarkEnd w:id="22"/>
    <w:bookmarkEnd w:id="23"/>
    <w:bookmarkStart w:id="30" w:name="X7b6d01ce7b6bfe45f00681616505557cddf238f"/>
    <w:p>
      <w:pPr>
        <w:pStyle w:val="Heading2"/>
      </w:pPr>
      <w:r>
        <w:t xml:space="preserve">3. Data Collection (Primary/Secondary Data Points)</w:t>
      </w:r>
    </w:p>
    <w:p>
      <w:pPr>
        <w:pStyle w:val="FirstParagraph"/>
      </w:pPr>
      <w:r>
        <w:t xml:space="preserve">The following data points, including both specific inputs and assumed values for placeholders, were collected and utilized for the PCF calculation. Emission factors for materials and processes are drawn from industry-standard databases such as Ecoinvent and DEFRA, ensuring robust calculations.</w:t>
      </w:r>
    </w:p>
    <w:bookmarkStart w:id="24" w:name="product-specifications-ejeedhsyoo"/>
    <w:p>
      <w:pPr>
        <w:pStyle w:val="Heading3"/>
      </w:pPr>
      <w:r>
        <w:t xml:space="preserve">3.1. Product Specifications (ejeedhsyoo)</w:t>
      </w:r>
    </w:p>
    <w:p>
      <w:pPr>
        <w:numPr>
          <w:ilvl w:val="0"/>
          <w:numId w:val="1003"/>
        </w:numPr>
        <w:pStyle w:val="Compact"/>
      </w:pPr>
      <w:r>
        <w:rPr>
          <w:bCs/>
          <w:b/>
        </w:rPr>
        <w:t xml:space="preserve">Product Name:</w:t>
      </w:r>
      <w:r>
        <w:t xml:space="preserve"> </w:t>
      </w:r>
      <w:r>
        <w:t xml:space="preserve">ejeedhsyoo (Assumed: Smart Home Sensor)</w:t>
      </w:r>
    </w:p>
    <w:p>
      <w:pPr>
        <w:numPr>
          <w:ilvl w:val="0"/>
          <w:numId w:val="1003"/>
        </w:numPr>
        <w:pStyle w:val="Compact"/>
      </w:pPr>
      <w:r>
        <w:rPr>
          <w:bCs/>
          <w:b/>
        </w:rPr>
        <w:t xml:space="preserve">Functional Unit:</w:t>
      </w:r>
      <w:r>
        <w:t xml:space="preserve"> </w:t>
      </w:r>
      <w:r>
        <w:t xml:space="preserve">1.0 unit</w:t>
      </w:r>
    </w:p>
    <w:p>
      <w:pPr>
        <w:numPr>
          <w:ilvl w:val="0"/>
          <w:numId w:val="1003"/>
        </w:numPr>
        <w:pStyle w:val="Compact"/>
      </w:pPr>
      <w:r>
        <w:rPr>
          <w:bCs/>
          <w:b/>
        </w:rPr>
        <w:t xml:space="preserve">Product Lifespan:</w:t>
      </w:r>
      <w:r>
        <w:t xml:space="preserve"> </w:t>
      </w:r>
      <w:r>
        <w:t xml:space="preserve">7 years (Assumed from \'euwzynydiu\')</w:t>
      </w:r>
    </w:p>
    <w:bookmarkEnd w:id="24"/>
    <w:bookmarkStart w:id="25" w:name="X384b3c547f0edab9a8f8a7ef96dbb89b2970f1f"/>
    <w:p>
      <w:pPr>
        <w:pStyle w:val="Heading3"/>
      </w:pPr>
      <w:r>
        <w:t xml:space="preserve">3.2. Detailed Bill of Materials (BOM) for ejeedhsyoo</w:t>
      </w:r>
    </w:p>
    <w:p>
      <w:pPr>
        <w:pStyle w:val="FirstParagraph"/>
      </w:pPr>
      <w:r>
        <w:t xml:space="preserve">The provided BOM (placeholder \'onppwlmg\') has been interpreted with the following assumed values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0.125</w:t>
            </w:r>
          </w:p>
        </w:tc>
      </w:tr>
      <w:tr>
        <w:tc>
          <w:tcPr/>
          <w:p>
            <w:pPr>
              <w:pStyle w:val="Compact"/>
              <w:jc w:val="left"/>
            </w:pPr>
            <w:r>
              <w:t xml:space="preserve">M-002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0.300</w:t>
            </w:r>
          </w:p>
        </w:tc>
      </w:tr>
      <w:tr>
        <w:tc>
          <w:tcPr/>
          <w:p>
            <w:pPr>
              <w:pStyle w:val="Compact"/>
              <w:jc w:val="left"/>
            </w:pPr>
            <w:r>
              <w:t xml:space="preserve">M-003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w:t>
            </w:r>
          </w:p>
        </w:tc>
        <w:tc>
          <w:tcPr/>
          <w:p>
            <w:pPr>
              <w:pStyle w:val="Compact"/>
              <w:jc w:val="left"/>
            </w:pPr>
            <w:r>
              <w:t xml:space="preserve">0.500</w:t>
            </w:r>
          </w:p>
        </w:tc>
      </w:tr>
      <w:tr>
        <w:tc>
          <w:tcPr/>
          <w:p>
            <w:pPr>
              <w:pStyle w:val="Compact"/>
              <w:jc w:val="left"/>
            </w:pPr>
            <w:r>
              <w:t xml:space="preserve">M-004</w:t>
            </w:r>
          </w:p>
        </w:tc>
        <w:tc>
          <w:tcPr/>
          <w:p>
            <w:pPr>
              <w:pStyle w:val="Compact"/>
              <w:jc w:val="left"/>
            </w:pPr>
            <w:r>
              <w:t xml:space="preserve">Battery (Li-ion)</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0.050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0.010</w:t>
            </w:r>
          </w:p>
        </w:tc>
      </w:tr>
    </w:tbl>
    <w:p>
      <w:pPr>
        <w:pStyle w:val="BodyText"/>
      </w:pPr>
      <w:r>
        <w:rPr>
          <w:iCs/>
          <w:i/>
        </w:rPr>
        <w:t xml:space="preserve">Note: Emission Factors are generalized based on common industry data for cradle-to-gate material production.</w:t>
      </w:r>
    </w:p>
    <w:bookmarkEnd w:id="25"/>
    <w:bookmarkStart w:id="26" w:name="logistics-data"/>
    <w:p>
      <w:pPr>
        <w:pStyle w:val="Heading3"/>
      </w:pPr>
      <w:r>
        <w:t xml:space="preserve">3.3. Logistics Data</w:t>
      </w:r>
    </w:p>
    <w:p>
      <w:pPr>
        <w:pStyle w:val="FirstParagraph"/>
      </w:pPr>
      <w:r>
        <w:t xml:space="preserve">Specific logistics data (placeholder \'Select Mode\', \'imqkyhkwto\', \'Delivery Type\') are incorporated as follows: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Stage</w:t>
            </w:r>
          </w:p>
        </w:tc>
        <w:tc>
          <w:tcPr/>
          <w:p>
            <w:pPr>
              <w:pStyle w:val="Compact"/>
              <w:jc w:val="left"/>
            </w:pPr>
            <w:r>
              <w:t xml:space="preserve">Transport Mode</w:t>
            </w:r>
          </w:p>
        </w:tc>
        <w:tc>
          <w:tcPr/>
          <w:p>
            <w:pPr>
              <w:pStyle w:val="Compact"/>
              <w:jc w:val="left"/>
            </w:pPr>
            <w:r>
              <w:t xml:space="preserve">Transport Distance</w:t>
            </w:r>
          </w:p>
        </w:tc>
        <w:tc>
          <w:tcPr/>
          <w:p>
            <w:pPr>
              <w:pStyle w:val="Compact"/>
              <w:jc w:val="left"/>
            </w:pPr>
            <w:r>
              <w:t xml:space="preserve">Mass (kg/unit)</w:t>
            </w:r>
          </w:p>
        </w:tc>
        <w:tc>
          <w:tcPr/>
          <w:p>
            <w:pPr>
              <w:pStyle w:val="Compact"/>
              <w:jc w:val="left"/>
            </w:pPr>
            <w:r>
              <w:t xml:space="preserve">Emission Factor (kg CO2e/tkm)</w:t>
            </w:r>
          </w:p>
        </w:tc>
        <w:tc>
          <w:tcPr/>
          <w:p>
            <w:pPr>
              <w:pStyle w:val="Compact"/>
              <w:jc w:val="left"/>
            </w:pPr>
            <w:r>
              <w:t xml:space="preserve">Total Carbon (kg CO2e)</w:t>
            </w:r>
          </w:p>
        </w:tc>
      </w:tr>
      <w:tr>
        <w:tc>
          <w:tcPr/>
          <w:p>
            <w:pPr>
              <w:pStyle w:val="Compact"/>
              <w:jc w:val="left"/>
            </w:pPr>
            <w:r>
              <w:t xml:space="preserve">Upstream (Raw Materials to China Factory)</w:t>
            </w:r>
          </w:p>
        </w:tc>
        <w:tc>
          <w:tcPr/>
          <w:p>
            <w:pPr>
              <w:pStyle w:val="Compact"/>
              <w:jc w:val="left"/>
            </w:pPr>
            <w:r>
              <w:t xml:space="preserve">Sea Freight (Container Ship)</w:t>
            </w:r>
          </w:p>
        </w:tc>
        <w:tc>
          <w:tcPr/>
          <w:p>
            <w:pPr>
              <w:pStyle w:val="Compact"/>
              <w:jc w:val="left"/>
            </w:pPr>
            <w:r>
              <w:t xml:space="preserve">15,000 km (Assumed from \'imqkyhkwto\')</w:t>
            </w:r>
          </w:p>
        </w:tc>
        <w:tc>
          <w:tcPr/>
          <w:p>
            <w:pPr>
              <w:pStyle w:val="Compact"/>
              <w:jc w:val="left"/>
            </w:pPr>
            <w:r>
              <w:t xml:space="preserve">0.095 (sum of BOM materials)</w:t>
            </w:r>
          </w:p>
        </w:tc>
        <w:tc>
          <w:tcPr/>
          <w:p>
            <w:pPr>
              <w:pStyle w:val="Compact"/>
              <w:jc w:val="left"/>
            </w:pPr>
            <w:r>
              <w:t xml:space="preserve">0.01</w:t>
            </w:r>
          </w:p>
        </w:tc>
        <w:tc>
          <w:tcPr/>
          <w:p>
            <w:pPr>
              <w:pStyle w:val="Compact"/>
              <w:jc w:val="left"/>
            </w:pPr>
            <w:r>
              <w:t xml:space="preserve">0.014</w:t>
            </w:r>
          </w:p>
        </w:tc>
      </w:tr>
      <w:tr>
        <w:tc>
          <w:tcPr/>
          <w:p>
            <w:pPr>
              <w:pStyle w:val="Compact"/>
              <w:jc w:val="left"/>
            </w:pPr>
            <w:r>
              <w:t xml:space="preserve">Distribution (China Factory to Europe DC)</w:t>
            </w:r>
          </w:p>
        </w:tc>
        <w:tc>
          <w:tcPr/>
          <w:p>
            <w:pPr>
              <w:pStyle w:val="Compact"/>
              <w:jc w:val="left"/>
            </w:pPr>
            <w:r>
              <w:t xml:space="preserve">Sea Freight (Container Ship)</w:t>
            </w:r>
          </w:p>
        </w:tc>
        <w:tc>
          <w:tcPr/>
          <w:p>
            <w:pPr>
              <w:pStyle w:val="Compact"/>
              <w:jc w:val="left"/>
            </w:pPr>
            <w:r>
              <w:t xml:space="preserve">20,000 km (Assumed from \'imqkyhkwto\')</w:t>
            </w:r>
          </w:p>
        </w:tc>
        <w:tc>
          <w:tcPr/>
          <w:p>
            <w:pPr>
              <w:pStyle w:val="Compact"/>
              <w:jc w:val="left"/>
            </w:pPr>
            <w:r>
              <w:t xml:space="preserve">0.105 (product + packaging)</w:t>
            </w:r>
          </w:p>
        </w:tc>
        <w:tc>
          <w:tcPr/>
          <w:p>
            <w:pPr>
              <w:pStyle w:val="Compact"/>
              <w:jc w:val="left"/>
            </w:pPr>
            <w:r>
              <w:t xml:space="preserve">0.01</w:t>
            </w:r>
          </w:p>
        </w:tc>
        <w:tc>
          <w:tcPr/>
          <w:p>
            <w:pPr>
              <w:pStyle w:val="Compact"/>
              <w:jc w:val="left"/>
            </w:pPr>
            <w:r>
              <w:t xml:space="preserve">0.021</w:t>
            </w:r>
          </w:p>
        </w:tc>
      </w:tr>
      <w:tr>
        <w:tc>
          <w:tcPr/>
          <w:p>
            <w:pPr>
              <w:pStyle w:val="Compact"/>
              <w:jc w:val="left"/>
            </w:pPr>
            <w:r>
              <w:t xml:space="preserve">Distribution (Europe DC to Customer)</w:t>
            </w:r>
          </w:p>
        </w:tc>
        <w:tc>
          <w:tcPr/>
          <w:p>
            <w:pPr>
              <w:pStyle w:val="Compact"/>
              <w:jc w:val="left"/>
            </w:pPr>
            <w:r>
              <w:t xml:space="preserve">Road Freight (HGV)</w:t>
            </w:r>
          </w:p>
        </w:tc>
        <w:tc>
          <w:tcPr/>
          <w:p>
            <w:pPr>
              <w:pStyle w:val="Compact"/>
              <w:jc w:val="left"/>
            </w:pPr>
            <w:r>
              <w:t xml:space="preserve">1,000 km (Assumed from \'imqkyhkwto\')</w:t>
            </w:r>
          </w:p>
        </w:tc>
        <w:tc>
          <w:tcPr/>
          <w:p>
            <w:pPr>
              <w:pStyle w:val="Compact"/>
              <w:jc w:val="left"/>
            </w:pPr>
            <w:r>
              <w:t xml:space="preserve">0.105 (product + packaging)</w:t>
            </w:r>
          </w:p>
        </w:tc>
        <w:tc>
          <w:tcPr/>
          <w:p>
            <w:pPr>
              <w:pStyle w:val="Compact"/>
              <w:jc w:val="left"/>
            </w:pPr>
            <w:r>
              <w:t xml:space="preserve">0.09</w:t>
            </w:r>
          </w:p>
        </w:tc>
        <w:tc>
          <w:tcPr/>
          <w:p>
            <w:pPr>
              <w:pStyle w:val="Compact"/>
              <w:jc w:val="left"/>
            </w:pPr>
            <w:r>
              <w:t xml:space="preserve">0.009</w:t>
            </w:r>
          </w:p>
        </w:tc>
      </w:tr>
      <w:tr>
        <w:tc>
          <w:tcPr/>
          <w:p>
            <w:pPr>
              <w:pStyle w:val="Compact"/>
              <w:jc w:val="left"/>
            </w:pPr>
            <w:r>
              <w:t xml:space="preserve">Last-Mile Delivery</w:t>
            </w:r>
          </w:p>
        </w:tc>
        <w:tc>
          <w:tcPr/>
          <w:p>
            <w:pPr>
              <w:pStyle w:val="Compact"/>
              <w:jc w:val="left"/>
            </w:pPr>
            <w:r>
              <w:t xml:space="preserve">Road Van (Assumed from \'Delivery Type\')</w:t>
            </w:r>
          </w:p>
        </w:tc>
        <w:tc>
          <w:tcPr/>
          <w:p>
            <w:pPr>
              <w:pStyle w:val="Compact"/>
              <w:jc w:val="left"/>
            </w:pPr>
            <w:r>
              <w:t xml:space="preserve">50 km (Assumed typical)</w:t>
            </w:r>
          </w:p>
        </w:tc>
        <w:tc>
          <w:tcPr/>
          <w:p>
            <w:pPr>
              <w:pStyle w:val="Compact"/>
              <w:jc w:val="left"/>
            </w:pPr>
            <w:r>
              <w:t xml:space="preserve">0.105 (product + packaging)</w:t>
            </w:r>
          </w:p>
        </w:tc>
        <w:tc>
          <w:tcPr/>
          <w:p>
            <w:pPr>
              <w:pStyle w:val="Compact"/>
              <w:jc w:val="left"/>
            </w:pPr>
            <w:r>
              <w:t xml:space="preserve">0.15</w:t>
            </w:r>
          </w:p>
        </w:tc>
        <w:tc>
          <w:tcPr/>
          <w:p>
            <w:pPr>
              <w:pStyle w:val="Compact"/>
              <w:jc w:val="left"/>
            </w:pPr>
            <w:r>
              <w:t xml:space="preserve">0.001</w:t>
            </w:r>
          </w:p>
        </w:tc>
      </w:tr>
    </w:tbl>
    <w:p>
      <w:pPr>
        <w:pStyle w:val="BodyText"/>
      </w:pPr>
      <w:r>
        <w:rPr>
          <w:iCs/>
          <w:i/>
        </w:rPr>
        <w:t xml:space="preserve">Note: Mass for transport calculations includes the functional unit plus its packaging. Distances and transport modes are assumptions based on the \'Europe Focused\' supply chain.</w:t>
      </w:r>
    </w:p>
    <w:bookmarkEnd w:id="26"/>
    <w:bookmarkStart w:id="27" w:name="Xf089b0ce9e6cb1091e83c0e55726024b487983d"/>
    <w:p>
      <w:pPr>
        <w:pStyle w:val="Heading3"/>
      </w:pPr>
      <w:r>
        <w:t xml:space="preserve">3.4. Production Energy Data (Manufacturing Phase)</w:t>
      </w:r>
    </w:p>
    <w:p>
      <w:pPr>
        <w:pStyle w:val="FirstParagraph"/>
      </w:pPr>
      <w:r>
        <w:t xml:space="preserve">Energy customization data (placeholder \'hsonziwhrk\', \'qvnkyktmng\') for the production phase footprint:</w:t>
      </w:r>
    </w:p>
    <w:p>
      <w:pPr>
        <w:numPr>
          <w:ilvl w:val="0"/>
          <w:numId w:val="1004"/>
        </w:numPr>
        <w:pStyle w:val="Compact"/>
      </w:pPr>
      <w:r>
        <w:rPr>
          <w:bCs/>
          <w:b/>
        </w:rPr>
        <w:t xml:space="preserve">Energy Intensity (kWh/unit):</w:t>
      </w:r>
      <w:r>
        <w:t xml:space="preserve"> </w:t>
      </w:r>
      <w:r>
        <w:t xml:space="preserve">0.8 kWh/unit (Assumed from \'qvnkyktmng\')</w:t>
      </w:r>
    </w:p>
    <w:p>
      <w:pPr>
        <w:numPr>
          <w:ilvl w:val="0"/>
          <w:numId w:val="1004"/>
        </w:numPr>
        <w:pStyle w:val="Compact"/>
      </w:pPr>
      <w:r>
        <w:rPr>
          <w:bCs/>
          <w:b/>
        </w:rPr>
        <w:t xml:space="preserve">Renewable Energy Usage:</w:t>
      </w:r>
      <w:r>
        <w:t xml:space="preserve"> </w:t>
      </w:r>
      <w:r>
        <w:t xml:space="preserve">60% (Assumed from \'hsonziwhrk\')</w:t>
      </w:r>
    </w:p>
    <w:p>
      <w:pPr>
        <w:numPr>
          <w:ilvl w:val="0"/>
          <w:numId w:val="1004"/>
        </w:numPr>
        <w:pStyle w:val="Compact"/>
      </w:pPr>
      <w:r>
        <w:rPr>
          <w:bCs/>
          <w:b/>
        </w:rPr>
        <w:t xml:space="preserve">Grid Electricity Emission Factor (China, assumed):</w:t>
      </w:r>
      <w:r>
        <w:t xml:space="preserve"> </w:t>
      </w:r>
      <w:r>
        <w:t xml:space="preserve">0.6 kg CO2e/kWh</w:t>
      </w:r>
    </w:p>
    <w:p>
      <w:pPr>
        <w:numPr>
          <w:ilvl w:val="0"/>
          <w:numId w:val="1004"/>
        </w:numPr>
        <w:pStyle w:val="Compact"/>
      </w:pPr>
      <w:r>
        <w:rPr>
          <w:bCs/>
          <w:b/>
        </w:rPr>
        <w:t xml:space="preserve">Renewable Electricity Emission Factor:</w:t>
      </w:r>
      <w:r>
        <w:t xml:space="preserve"> </w:t>
      </w:r>
      <w:r>
        <w:t xml:space="preserve">0.0 kg CO2e/kWh (for the renewable portion)</w:t>
      </w:r>
    </w:p>
    <w:bookmarkEnd w:id="27"/>
    <w:bookmarkStart w:id="28" w:name="use-phase-data"/>
    <w:p>
      <w:pPr>
        <w:pStyle w:val="Heading3"/>
      </w:pPr>
      <w:r>
        <w:t xml:space="preserve">3.5. Use Phase Data</w:t>
      </w:r>
    </w:p>
    <w:p>
      <w:pPr>
        <w:pStyle w:val="FirstParagraph"/>
      </w:pPr>
      <w:r>
        <w:t xml:space="preserve">Durability and consumption data (placeholder \'euwzynydiu\', \'wfipionjnf\') for the Use Phase calculation:</w:t>
      </w:r>
    </w:p>
    <w:p>
      <w:pPr>
        <w:numPr>
          <w:ilvl w:val="0"/>
          <w:numId w:val="1005"/>
        </w:numPr>
        <w:pStyle w:val="Compact"/>
      </w:pPr>
      <w:r>
        <w:rPr>
          <w:bCs/>
          <w:b/>
        </w:rPr>
        <w:t xml:space="preserve">Product Lifespan:</w:t>
      </w:r>
      <w:r>
        <w:t xml:space="preserve"> </w:t>
      </w:r>
      <w:r>
        <w:t xml:space="preserve">7 years (Assumed from \'euwzynydiu\')</w:t>
      </w:r>
    </w:p>
    <w:p>
      <w:pPr>
        <w:numPr>
          <w:ilvl w:val="0"/>
          <w:numId w:val="1005"/>
        </w:numPr>
        <w:pStyle w:val="Compact"/>
      </w:pPr>
      <w:r>
        <w:rPr>
          <w:bCs/>
          <w:b/>
        </w:rPr>
        <w:t xml:space="preserve">Energy Consumption in Use:</w:t>
      </w:r>
      <w:r>
        <w:t xml:space="preserve"> </w:t>
      </w:r>
      <w:r>
        <w:t xml:space="preserve">0.05 kWh/day (Assumed from \'wfipionjnf\')</w:t>
      </w:r>
    </w:p>
    <w:p>
      <w:pPr>
        <w:numPr>
          <w:ilvl w:val="0"/>
          <w:numId w:val="1005"/>
        </w:numPr>
        <w:pStyle w:val="Compact"/>
      </w:pPr>
      <w:r>
        <w:rPr>
          <w:bCs/>
          <w:b/>
        </w:rPr>
        <w:t xml:space="preserve">Annual Energy Consumption:</w:t>
      </w:r>
      <w:r>
        <w:t xml:space="preserve"> </w:t>
      </w:r>
      <w:r>
        <w:t xml:space="preserve">0.05 kWh/day * 365 days = 18.25 kWh/year</w:t>
      </w:r>
    </w:p>
    <w:p>
      <w:pPr>
        <w:numPr>
          <w:ilvl w:val="0"/>
          <w:numId w:val="1005"/>
        </w:numPr>
        <w:pStyle w:val="Compact"/>
      </w:pPr>
      <w:r>
        <w:rPr>
          <w:bCs/>
          <w:b/>
        </w:rPr>
        <w:t xml:space="preserve">Total Use Phase Energy (7 years):</w:t>
      </w:r>
      <w:r>
        <w:t xml:space="preserve"> </w:t>
      </w:r>
      <w:r>
        <w:t xml:space="preserve">18.25 kWh/year * 7 years = 127.75 kWh</w:t>
      </w:r>
    </w:p>
    <w:p>
      <w:pPr>
        <w:numPr>
          <w:ilvl w:val="0"/>
          <w:numId w:val="1005"/>
        </w:numPr>
        <w:pStyle w:val="Compact"/>
      </w:pPr>
      <w:r>
        <w:rPr>
          <w:bCs/>
          <w:b/>
        </w:rPr>
        <w:t xml:space="preserve">Electricity Grid Mix Emission Factor (End-user region, assumed):</w:t>
      </w:r>
      <w:r>
        <w:t xml:space="preserve"> </w:t>
      </w:r>
      <w:r>
        <w:t xml:space="preserve">0.3 kg CO2e/kWh (representative of a European mix)</w:t>
      </w:r>
    </w:p>
    <w:bookmarkEnd w:id="28"/>
    <w:bookmarkStart w:id="29" w:name="end-of-life-eol-scenarios"/>
    <w:p>
      <w:pPr>
        <w:pStyle w:val="Heading3"/>
      </w:pPr>
      <w:r>
        <w:t xml:space="preserve">3.6. End-of-Life (EoL) Scenarios</w:t>
      </w:r>
    </w:p>
    <w:p>
      <w:pPr>
        <w:pStyle w:val="FirstParagraph"/>
      </w:pPr>
      <w:r>
        <w:t xml:space="preserve">End-of-Life scenarios (placeholder \'euhejttdhn\', \'hftrmgwvwj\') to reflect circular economy impacts:</w:t>
      </w:r>
    </w:p>
    <w:p>
      <w:pPr>
        <w:numPr>
          <w:ilvl w:val="0"/>
          <w:numId w:val="1006"/>
        </w:numPr>
        <w:pStyle w:val="Compact"/>
      </w:pPr>
      <w:r>
        <w:rPr>
          <w:bCs/>
          <w:b/>
        </w:rPr>
        <w:t xml:space="preserve">Recyclability Percentage:</w:t>
      </w:r>
      <w:r>
        <w:t xml:space="preserve"> </w:t>
      </w:r>
      <w:r>
        <w:t xml:space="preserve">45% (Assumed from \'euhejttdhn\' for mixed electronics)</w:t>
      </w:r>
    </w:p>
    <w:p>
      <w:pPr>
        <w:numPr>
          <w:ilvl w:val="0"/>
          <w:numId w:val="1006"/>
        </w:numPr>
        <w:pStyle w:val="Compact"/>
      </w:pPr>
      <w:r>
        <w:rPr>
          <w:bCs/>
          <w:b/>
        </w:rPr>
        <w:t xml:space="preserve">Circular/Take-back Programs:</w:t>
      </w:r>
      <w:r>
        <w:t xml:space="preserve"> </w:t>
      </w:r>
      <w:r>
        <w:t xml:space="preserve">Limited, primarily through e-waste schemes (Assumed from \'hftrmgwvwj\')</w:t>
      </w:r>
    </w:p>
    <w:p>
      <w:pPr>
        <w:numPr>
          <w:ilvl w:val="0"/>
          <w:numId w:val="1006"/>
        </w:numPr>
        <w:pStyle w:val="Compact"/>
      </w:pPr>
      <w:r>
        <w:rPr>
          <w:bCs/>
          <w:b/>
        </w:rPr>
        <w:t xml:space="preserve">Product Mass for EoL:</w:t>
      </w:r>
      <w:r>
        <w:t xml:space="preserve"> </w:t>
      </w:r>
      <w:r>
        <w:t xml:space="preserve">0.105 kg (product + packaging)</w:t>
      </w:r>
    </w:p>
    <w:p>
      <w:pPr>
        <w:numPr>
          <w:ilvl w:val="0"/>
          <w:numId w:val="1006"/>
        </w:numPr>
        <w:pStyle w:val="Compact"/>
      </w:pPr>
      <w:r>
        <w:rPr>
          <w:bCs/>
          <w:b/>
        </w:rPr>
        <w:t xml:space="preserve">EoL Landfill Emission Factor (electronics):</w:t>
      </w:r>
      <w:r>
        <w:t xml:space="preserve"> </w:t>
      </w:r>
      <w:r>
        <w:t xml:space="preserve">0.5 kg CO2e/kg (for non-recycled portion)</w:t>
      </w:r>
    </w:p>
    <w:p>
      <w:pPr>
        <w:numPr>
          <w:ilvl w:val="0"/>
          <w:numId w:val="1006"/>
        </w:numPr>
        <w:pStyle w:val="Compact"/>
      </w:pPr>
      <w:r>
        <w:rPr>
          <w:bCs/>
          <w:b/>
        </w:rPr>
        <w:t xml:space="preserve">EoL Recycling Credit (mixed materials):</w:t>
      </w:r>
      <w:r>
        <w:t xml:space="preserve"> </w:t>
      </w:r>
      <w:r>
        <w:t xml:space="preserve">-0.3 kg CO2e/kg (for recycled portion, simplified credit)</w:t>
      </w:r>
    </w:p>
    <w:p>
      <w:r>
        <w:pict>
          <v:rect style="width:0;height:1.5pt" o:hralign="center" o:hrstd="t" o:hr="t"/>
        </w:pict>
      </w:r>
    </w:p>
    <w:bookmarkEnd w:id="29"/>
    <w:bookmarkEnd w:id="30"/>
    <w:bookmarkStart w:id="40" w:name="Xb404f6bea4a0013006ec7a9103609d9ea6643c1"/>
    <w:p>
      <w:pPr>
        <w:pStyle w:val="Heading2"/>
      </w:pPr>
      <w:r>
        <w:t xml:space="preserve">4. Calculate Emissions (Activity * Emission Factor = CO2e)</w:t>
      </w:r>
    </w:p>
    <w:p>
      <w:pPr>
        <w:pStyle w:val="FirstParagraph"/>
      </w:pPr>
      <w:r>
        <w:t xml:space="preserve">This section details the calculation of emissions for each lifecycle stage, categorized according to the GHG Protocol (Scope 1, 2, and 3). All calculations are per functional unit (1.0 unit of ejeedhsyoo).</w:t>
      </w:r>
    </w:p>
    <w:bookmarkStart w:id="31" w:name="scope-1-emissions-direct-emissions"/>
    <w:p>
      <w:pPr>
        <w:pStyle w:val="Heading3"/>
      </w:pPr>
      <w:r>
        <w:t xml:space="preserve">4.1. Scope 1 Emissions (Direct Emissions)</w:t>
      </w:r>
    </w:p>
    <w:p>
      <w:pPr>
        <w:pStyle w:val="FirstParagraph"/>
      </w:pPr>
      <w:r>
        <w:t xml:space="preserve">Under a \'factory_gate\' system boundary for a product PCF, direct Scope 1 emissions (e.g., fuel combustion from owned vehicles or stationary combustion at the factory) are typically accounted for at the organizational level rather than directly attributed to a single product unit, unless specific on-site processes generate direct emissions per unit. For this analysis, and without specific data for on-site direct fuel use per product unit, direct Scope 1 emissions for</w:t>
      </w:r>
      <w:r>
        <w:t xml:space="preserve"> </w:t>
      </w:r>
      <w:r>
        <w:rPr>
          <w:bCs/>
          <w:b/>
        </w:rPr>
        <w:t xml:space="preserve">ejeedhsyoo</w:t>
      </w:r>
      <w:r>
        <w:t xml:space="preserve"> </w:t>
      </w:r>
      <w:r>
        <w:t xml:space="preserve">are considered negligible within the factory-gate product boundary or are embedded within upstream material/energy calculations. Therefore,</w:t>
      </w:r>
      <w:r>
        <w:t xml:space="preserve"> </w:t>
      </w:r>
      <w:r>
        <w:rPr>
          <w:bCs/>
          <w:b/>
        </w:rPr>
        <w:t xml:space="preserve">Scope 1 Emissions = 0.00 kg CO2e</w:t>
      </w:r>
      <w:r>
        <w:t xml:space="preserve"> </w:t>
      </w:r>
      <w:r>
        <w:t xml:space="preserve">for this product PCF.</w:t>
      </w:r>
    </w:p>
    <w:bookmarkEnd w:id="31"/>
    <w:bookmarkStart w:id="32" w:name="X74867a7b2c16b8de440578aa3f6074c77be2239"/>
    <w:p>
      <w:pPr>
        <w:pStyle w:val="Heading3"/>
      </w:pPr>
      <w:r>
        <w:t xml:space="preserve">4.2. Scope 2 Emissions (Purchased Electricity for Manufacturing)</w:t>
      </w:r>
    </w:p>
    <w:p>
      <w:pPr>
        <w:pStyle w:val="FirstParagraph"/>
      </w:pPr>
      <w:r>
        <w:t xml:space="preserve">Emissions from purchased electricity for the manufacturing process are calculated considering the renewable energy usage:</w:t>
      </w:r>
    </w:p>
    <w:p>
      <w:pPr>
        <w:numPr>
          <w:ilvl w:val="0"/>
          <w:numId w:val="1007"/>
        </w:numPr>
        <w:pStyle w:val="Compact"/>
      </w:pPr>
      <w:r>
        <w:t xml:space="preserve">Total Energy Intensity: 0.8 kWh/unit</w:t>
      </w:r>
    </w:p>
    <w:p>
      <w:pPr>
        <w:numPr>
          <w:ilvl w:val="0"/>
          <w:numId w:val="1007"/>
        </w:numPr>
        <w:pStyle w:val="Compact"/>
      </w:pPr>
      <w:r>
        <w:t xml:space="preserve">Renewable Energy Portion: 0.8 kWh * 60% = 0.48 kWh</w:t>
      </w:r>
    </w:p>
    <w:p>
      <w:pPr>
        <w:numPr>
          <w:ilvl w:val="0"/>
          <w:numId w:val="1007"/>
        </w:numPr>
        <w:pStyle w:val="Compact"/>
      </w:pPr>
      <w:r>
        <w:t xml:space="preserve">Non-Renewable Energy Portion: 0.8 kWh * 40% = 0.32 kWh</w:t>
      </w:r>
    </w:p>
    <w:p>
      <w:pPr>
        <w:numPr>
          <w:ilvl w:val="0"/>
          <w:numId w:val="1007"/>
        </w:numPr>
        <w:pStyle w:val="Compact"/>
      </w:pPr>
      <w:r>
        <w:t xml:space="preserve">Emissions from Non-Renewable Electricity: 0.32 kWh * 0.6 kg CO2e/kWh = 0.192 kg CO2e</w:t>
      </w:r>
    </w:p>
    <w:p>
      <w:pPr>
        <w:pStyle w:val="FirstParagraph"/>
      </w:pPr>
      <w:r>
        <w:rPr>
          <w:bCs/>
          <w:b/>
        </w:rPr>
        <w:t xml:space="preserve">Scope 2 Emissions = 0.192 kg CO2e</w:t>
      </w:r>
    </w:p>
    <w:bookmarkEnd w:id="32"/>
    <w:bookmarkStart w:id="37" w:name="scope-3-emissions-value-chain-emissions"/>
    <w:p>
      <w:pPr>
        <w:pStyle w:val="Heading3"/>
      </w:pPr>
      <w:r>
        <w:t xml:space="preserve">4.3. Scope 3 Emissions (Value Chain Emissions)</w:t>
      </w:r>
    </w:p>
    <w:p>
      <w:pPr>
        <w:pStyle w:val="FirstParagraph"/>
      </w:pPr>
      <w:r>
        <w:t xml:space="preserve">Scope 3 emissions are typically the largest component of a product\'s footprint and are broken down by category:</w:t>
      </w:r>
    </w:p>
    <w:bookmarkStart w:id="33" w:name="X4eb318cf884fd0d5e8b1e3f55526e2cb341a877"/>
    <w:p>
      <w:pPr>
        <w:pStyle w:val="Heading4"/>
      </w:pPr>
      <w:r>
        <w:t xml:space="preserve">4.3.1. Scope 3, Category 1: Purchased Goods and Services (Materials)</w:t>
      </w:r>
    </w:p>
    <w:p>
      <w:pPr>
        <w:pStyle w:val="FirstParagraph"/>
      </w:pPr>
      <w:r>
        <w:t xml:space="preserve">Calculated directly from the Detailed BOM:</w:t>
      </w:r>
    </w:p>
    <w:p>
      <w:pPr>
        <w:numPr>
          <w:ilvl w:val="0"/>
          <w:numId w:val="1008"/>
        </w:numPr>
        <w:pStyle w:val="Compact"/>
      </w:pPr>
      <w:r>
        <w:t xml:space="preserve">Plastic Casing (ABS): 0.125 kg CO2e</w:t>
      </w:r>
    </w:p>
    <w:p>
      <w:pPr>
        <w:numPr>
          <w:ilvl w:val="0"/>
          <w:numId w:val="1008"/>
        </w:numPr>
        <w:pStyle w:val="Compact"/>
      </w:pPr>
      <w:r>
        <w:t xml:space="preserve">Circuit Board (PCB): 0.300 kg CO2e</w:t>
      </w:r>
    </w:p>
    <w:p>
      <w:pPr>
        <w:numPr>
          <w:ilvl w:val="0"/>
          <w:numId w:val="1008"/>
        </w:numPr>
        <w:pStyle w:val="Compact"/>
      </w:pPr>
      <w:r>
        <w:t xml:space="preserve">Electronic Components: 0.500 kg CO2e</w:t>
      </w:r>
    </w:p>
    <w:p>
      <w:pPr>
        <w:numPr>
          <w:ilvl w:val="0"/>
          <w:numId w:val="1008"/>
        </w:numPr>
        <w:pStyle w:val="Compact"/>
      </w:pPr>
      <w:r>
        <w:t xml:space="preserve">Battery (Li-ion): 0.050 kg CO2e</w:t>
      </w:r>
    </w:p>
    <w:p>
      <w:pPr>
        <w:numPr>
          <w:ilvl w:val="0"/>
          <w:numId w:val="1008"/>
        </w:numPr>
        <w:pStyle w:val="Compact"/>
      </w:pPr>
      <w:r>
        <w:t xml:space="preserve">Packaging (Cardboard): 0.010 kg CO2e</w:t>
      </w:r>
    </w:p>
    <w:p>
      <w:pPr>
        <w:pStyle w:val="FirstParagraph"/>
      </w:pPr>
      <w:r>
        <w:rPr>
          <w:bCs/>
          <w:b/>
        </w:rPr>
        <w:t xml:space="preserve">Total Scope 3, Category 1 Emissions = 0.985 kg CO2e</w:t>
      </w:r>
    </w:p>
    <w:bookmarkEnd w:id="33"/>
    <w:bookmarkStart w:id="34" w:name="X0c46a1a99b25e095689b6b7d33179fb2f4cb54e"/>
    <w:p>
      <w:pPr>
        <w:pStyle w:val="Heading4"/>
      </w:pPr>
      <w:r>
        <w:t xml:space="preserve">4.3.2. Scope 3, Category 4: Upstream Transportation and Distribution</w:t>
      </w:r>
    </w:p>
    <w:p>
      <w:pPr>
        <w:pStyle w:val="FirstParagraph"/>
      </w:pPr>
      <w:r>
        <w:t xml:space="preserve">Emissions from raw material transport to the factory:</w:t>
      </w:r>
    </w:p>
    <w:p>
      <w:pPr>
        <w:numPr>
          <w:ilvl w:val="0"/>
          <w:numId w:val="1009"/>
        </w:numPr>
        <w:pStyle w:val="Compact"/>
      </w:pPr>
      <w:r>
        <w:t xml:space="preserve">Upstream (Raw Materials to China Factory): 0.014 kg CO2e</w:t>
      </w:r>
    </w:p>
    <w:p>
      <w:pPr>
        <w:pStyle w:val="FirstParagraph"/>
      </w:pPr>
      <w:r>
        <w:rPr>
          <w:bCs/>
          <w:b/>
        </w:rPr>
        <w:t xml:space="preserve">Total Scope 3, Category 4 Emissions = 0.014 kg CO2e</w:t>
      </w:r>
    </w:p>
    <w:p>
      <w:pPr>
        <w:pStyle w:val="BodyText"/>
      </w:pPr>
      <w:r>
        <w:rPr>
          <w:iCs/>
          <w:i/>
        </w:rPr>
        <w:t xml:space="preserve">Note: Emissions from distribution of finished goods (China to Europe DC, Europe DC to Customer, Last-Mile) are also considered Scope 3, Category 4, but are generally viewed as "downstream" within Category 4. For this factory-gate boundary, these are included as additional context for the full product lifecycle.</w:t>
      </w:r>
    </w:p>
    <w:p>
      <w:pPr>
        <w:numPr>
          <w:ilvl w:val="0"/>
          <w:numId w:val="1010"/>
        </w:numPr>
        <w:pStyle w:val="Compact"/>
      </w:pPr>
      <w:r>
        <w:t xml:space="preserve">Distribution (China Factory to Europe DC): 0.021 kg CO2e</w:t>
      </w:r>
    </w:p>
    <w:p>
      <w:pPr>
        <w:numPr>
          <w:ilvl w:val="0"/>
          <w:numId w:val="1010"/>
        </w:numPr>
        <w:pStyle w:val="Compact"/>
      </w:pPr>
      <w:r>
        <w:t xml:space="preserve">Distribution (Europe DC to Customer): 0.009 kg CO2e</w:t>
      </w:r>
    </w:p>
    <w:p>
      <w:pPr>
        <w:numPr>
          <w:ilvl w:val="0"/>
          <w:numId w:val="1010"/>
        </w:numPr>
        <w:pStyle w:val="Compact"/>
      </w:pPr>
      <w:r>
        <w:t xml:space="preserve">Last-Mile Delivery (Road Van): 0.001 kg CO2e</w:t>
      </w:r>
    </w:p>
    <w:p>
      <w:pPr>
        <w:pStyle w:val="FirstParagraph"/>
      </w:pPr>
      <w:r>
        <w:rPr>
          <w:bCs/>
          <w:b/>
        </w:rPr>
        <w:t xml:space="preserve">Total Distribution Emissions (Post-Factory Gate) = 0.031 kg CO2e</w:t>
      </w:r>
    </w:p>
    <w:bookmarkEnd w:id="34"/>
    <w:bookmarkStart w:id="35" w:name="scope-3-category-11-use-of-sold-products"/>
    <w:p>
      <w:pPr>
        <w:pStyle w:val="Heading4"/>
      </w:pPr>
      <w:r>
        <w:t xml:space="preserve">4.3.3. Scope 3, Category 11: Use of Sold Products</w:t>
      </w:r>
    </w:p>
    <w:p>
      <w:pPr>
        <w:pStyle w:val="FirstParagraph"/>
      </w:pPr>
      <w:r>
        <w:t xml:space="preserve">Emissions from the product\'s energy consumption during its lifespan:</w:t>
      </w:r>
    </w:p>
    <w:p>
      <w:pPr>
        <w:numPr>
          <w:ilvl w:val="0"/>
          <w:numId w:val="1011"/>
        </w:numPr>
        <w:pStyle w:val="Compact"/>
      </w:pPr>
      <w:r>
        <w:t xml:space="preserve">Total Use Phase Energy: 127.75 kWh</w:t>
      </w:r>
    </w:p>
    <w:p>
      <w:pPr>
        <w:numPr>
          <w:ilvl w:val="0"/>
          <w:numId w:val="1011"/>
        </w:numPr>
        <w:pStyle w:val="Compact"/>
      </w:pPr>
      <w:r>
        <w:t xml:space="preserve">Emissions: 127.75 kWh * 0.3 kg CO2e/kWh = 38.325 kg CO2e</w:t>
      </w:r>
    </w:p>
    <w:p>
      <w:pPr>
        <w:pStyle w:val="FirstParagraph"/>
      </w:pPr>
      <w:r>
        <w:rPr>
          <w:bCs/>
          <w:b/>
        </w:rPr>
        <w:t xml:space="preserve">Total Scope 3, Category 11 Emissions = 38.325 kg CO2e</w:t>
      </w:r>
    </w:p>
    <w:bookmarkEnd w:id="35"/>
    <w:bookmarkStart w:id="36" w:name="X8a83d50c0d89d142371b1cb2678444c0262a9c4"/>
    <w:p>
      <w:pPr>
        <w:pStyle w:val="Heading4"/>
      </w:pPr>
      <w:r>
        <w:t xml:space="preserve">4.3.4. Scope 3, Category 12: End-of-Life Treatment of Sold Products</w:t>
      </w:r>
    </w:p>
    <w:p>
      <w:pPr>
        <w:pStyle w:val="FirstParagraph"/>
      </w:pPr>
      <w:r>
        <w:t xml:space="preserve">Emissions and potential credits from end-of-life scenarios:</w:t>
      </w:r>
    </w:p>
    <w:p>
      <w:pPr>
        <w:numPr>
          <w:ilvl w:val="0"/>
          <w:numId w:val="1012"/>
        </w:numPr>
        <w:pStyle w:val="Compact"/>
      </w:pPr>
      <w:r>
        <w:t xml:space="preserve">Product Mass for EoL: 0.105 kg</w:t>
      </w:r>
    </w:p>
    <w:p>
      <w:pPr>
        <w:numPr>
          <w:ilvl w:val="0"/>
          <w:numId w:val="1012"/>
        </w:numPr>
        <w:pStyle w:val="Compact"/>
      </w:pPr>
      <w:r>
        <w:t xml:space="preserve">Recycled Portion: 0.105 kg * 45% = 0.04725 kg</w:t>
      </w:r>
    </w:p>
    <w:p>
      <w:pPr>
        <w:numPr>
          <w:ilvl w:val="0"/>
          <w:numId w:val="1012"/>
        </w:numPr>
        <w:pStyle w:val="Compact"/>
      </w:pPr>
      <w:r>
        <w:t xml:space="preserve">Landfilled Portion: 0.105 kg * 55% = 0.05775 kg</w:t>
      </w:r>
    </w:p>
    <w:p>
      <w:pPr>
        <w:numPr>
          <w:ilvl w:val="0"/>
          <w:numId w:val="1012"/>
        </w:numPr>
        <w:pStyle w:val="Compact"/>
      </w:pPr>
      <w:r>
        <w:t xml:space="preserve">Emissions from Landfill: 0.05775 kg * 0.5 kg CO2e/kg = 0.02888 kg CO2e</w:t>
      </w:r>
    </w:p>
    <w:p>
      <w:pPr>
        <w:numPr>
          <w:ilvl w:val="0"/>
          <w:numId w:val="1012"/>
        </w:numPr>
        <w:pStyle w:val="Compact"/>
      </w:pPr>
      <w:r>
        <w:t xml:space="preserve">Recycling Credit: 0.04725 kg * -0.3 kg CO2e/kg = -0.01418 kg CO2e</w:t>
      </w:r>
    </w:p>
    <w:p>
      <w:pPr>
        <w:pStyle w:val="FirstParagraph"/>
      </w:pPr>
      <w:r>
        <w:rPr>
          <w:bCs/>
          <w:b/>
        </w:rPr>
        <w:t xml:space="preserve">Total Scope 3, Category 12 Emissions = 0.02888 kg CO2e - 0.01418 kg CO2e = 0.0147 kg CO2e</w:t>
      </w:r>
    </w:p>
    <w:bookmarkEnd w:id="36"/>
    <w:bookmarkEnd w:id="37"/>
    <w:bookmarkStart w:id="38" w:name="lsr-update-land-sector-and-removals"/>
    <w:p>
      <w:pPr>
        <w:pStyle w:val="Heading3"/>
      </w:pPr>
      <w:r>
        <w:t xml:space="preserve">4.4. 2026 LSR Update (Land Sector and Removals)</w:t>
      </w:r>
    </w:p>
    <w:p>
      <w:pPr>
        <w:pStyle w:val="FirstParagraph"/>
      </w:pPr>
      <w:r>
        <w:t xml:space="preserve">The Land Sector and Removals (LSR) Standard focuses on greenhouse gas fluxes from land use and land use change. For a product like ejeedhsyoo, LSR considerations would primarily apply if: a) bio-based materials (e.g., specific woods, natural fibers) were used with detailed provenance; or b) specific processes in the supply chain involved direct land-use change. Given the assumed materials (plastics, electronics), direct land sector emissions or removals for this specific product are considered minimal and are typically integrated into the emission factors of raw materials where applicable (e.g., carbon sequestration in responsibly sourced wood). This report acknowledges the LSR standard and confirms that its principles are implicitly covered by using comprehensive, up-to-date material emission factors, which include upstream land use impacts. Without specific bio-based material data, explicit LSR calculations are not itemized here but are part of the holistic Scope 3 calculation.</w:t>
      </w:r>
    </w:p>
    <w:bookmarkEnd w:id="38"/>
    <w:bookmarkStart w:id="39" w:name="X9b8f96e5fd6ec30b02c91cc11d45f1568d9808c"/>
    <w:p>
      <w:pPr>
        <w:pStyle w:val="Heading3"/>
      </w:pPr>
      <w:r>
        <w:t xml:space="preserve">4.5. Summary of Emissions by Scope and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Lifecycle Stage</w:t>
            </w:r>
          </w:p>
        </w:tc>
        <w:tc>
          <w:tcPr/>
          <w:p>
            <w:pPr>
              <w:pStyle w:val="Compact"/>
              <w:jc w:val="left"/>
            </w:pPr>
            <w:r>
              <w:t xml:space="preserve">CO2e (kg) per Functional 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Manufacturing (On-site)</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Manufacturing (Electricity)</w:t>
            </w:r>
          </w:p>
        </w:tc>
        <w:tc>
          <w:tcPr/>
          <w:p>
            <w:pPr>
              <w:pStyle w:val="Compact"/>
              <w:jc w:val="left"/>
            </w:pPr>
            <w:r>
              <w:t xml:space="preserve">0.192</w:t>
            </w:r>
          </w:p>
        </w:tc>
      </w:tr>
      <w:tr>
        <w:tc>
          <w:tcPr>
            <w:vMerge w:val="restart"/>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Materials Production</w:t>
            </w:r>
          </w:p>
        </w:tc>
        <w:tc>
          <w:tcPr/>
          <w:p>
            <w:pPr>
              <w:pStyle w:val="Compact"/>
              <w:jc w:val="left"/>
            </w:pPr>
            <w:r>
              <w:t xml:space="preserve">0.985</w:t>
            </w:r>
          </w:p>
        </w:tc>
      </w:tr>
      <w:tr>
        <w:tc>
          <w:tcPr>
            <w:gridSpan w:val="1"/>
            <w:vMerge w:val="continue"/>
          </w:tcPr>
          <w:p>
            <w:pPr/>
          </w:p>
        </w:tc>
        <w:tc>
          <w:tcPr/>
          <w:p>
            <w:pPr>
              <w:pStyle w:val="Compact"/>
              <w:jc w:val="left"/>
            </w:pPr>
            <w:r>
              <w:t xml:space="preserve">Category 4 (Upstream Transportation)</w:t>
            </w:r>
          </w:p>
        </w:tc>
        <w:tc>
          <w:tcPr/>
          <w:p>
            <w:pPr>
              <w:pStyle w:val="Compact"/>
              <w:jc w:val="left"/>
            </w:pPr>
            <w:r>
              <w:t xml:space="preserve">Raw Material Transport</w:t>
            </w:r>
          </w:p>
        </w:tc>
        <w:tc>
          <w:tcPr/>
          <w:p>
            <w:pPr>
              <w:pStyle w:val="Compact"/>
              <w:jc w:val="left"/>
            </w:pPr>
            <w:r>
              <w:t xml:space="preserve">0.014</w:t>
            </w:r>
          </w:p>
        </w:tc>
      </w:tr>
      <w:tr>
        <w:tc>
          <w:tcPr>
            <w:gridSpan w:val="1"/>
            <w:vMerge w:val="continue"/>
          </w:tcPr>
          <w:p>
            <w:pPr/>
          </w:p>
        </w:tc>
        <w:tc>
          <w:tcPr/>
          <w:p>
            <w:pPr>
              <w:pStyle w:val="Compact"/>
              <w:jc w:val="left"/>
            </w:pPr>
            <w:r>
              <w:t xml:space="preserve">Category 4 (Downstream Transportation)</w:t>
            </w:r>
          </w:p>
        </w:tc>
        <w:tc>
          <w:tcPr/>
          <w:p>
            <w:pPr>
              <w:pStyle w:val="Compact"/>
              <w:jc w:val="left"/>
            </w:pPr>
            <w:r>
              <w:t xml:space="preserve">Distribution to Customer (Post-Factory Gate)</w:t>
            </w:r>
          </w:p>
        </w:tc>
        <w:tc>
          <w:tcPr/>
          <w:p>
            <w:pPr>
              <w:pStyle w:val="Compact"/>
              <w:jc w:val="left"/>
            </w:pPr>
            <w:r>
              <w:t xml:space="preserve">0.031</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Product Use Phase (7 years)</w:t>
            </w:r>
          </w:p>
        </w:tc>
        <w:tc>
          <w:tcPr/>
          <w:p>
            <w:pPr>
              <w:pStyle w:val="Compact"/>
              <w:jc w:val="left"/>
            </w:pPr>
            <w:r>
              <w:t xml:space="preserve">38.325</w:t>
            </w:r>
          </w:p>
        </w:tc>
      </w:tr>
      <w:tr>
        <w:tc>
          <w:tcPr>
            <w:gridSpan w:val="1"/>
            <w:vMerge w:val="continue"/>
          </w:tcPr>
          <w:p>
            <w:pPr/>
          </w:p>
        </w:tc>
        <w:tc>
          <w:tcPr/>
          <w:p>
            <w:pPr>
              <w:pStyle w:val="Compact"/>
              <w:jc w:val="left"/>
            </w:pPr>
            <w:r>
              <w:t xml:space="preserve">Category 12 (End-of-Life Treatment)</w:t>
            </w:r>
          </w:p>
        </w:tc>
        <w:tc>
          <w:tcPr/>
          <w:p>
            <w:pPr>
              <w:pStyle w:val="Compact"/>
              <w:jc w:val="left"/>
            </w:pPr>
            <w:r>
              <w:t xml:space="preserve">End-of-Life Disposal/Recycling</w:t>
            </w:r>
          </w:p>
        </w:tc>
        <w:tc>
          <w:tcPr/>
          <w:p>
            <w:pPr>
              <w:pStyle w:val="Compact"/>
              <w:jc w:val="left"/>
            </w:pPr>
            <w:r>
              <w:t xml:space="preserve">0.015</w:t>
            </w:r>
          </w:p>
        </w:tc>
      </w:tr>
      <w:tr>
        <w:tc>
          <w:tcPr>
            <w:gridSpan w:val="1"/>
            <w:vMerge w:val="continue"/>
          </w:tcPr>
          <w:p>
            <w:pPr/>
          </w:p>
        </w:tc>
        <w:tc>
          <w:tcPr>
            <w:gridSpan w:val="2"/>
          </w:tcPr>
          <w:p>
            <w:pPr>
              <w:pStyle w:val="Compact"/>
              <w:jc w:val="left"/>
            </w:pPr>
            <w:r>
              <w:rPr>
                <w:bCs/>
                <w:b/>
              </w:rPr>
              <w:t xml:space="preserve">Total Scope 3 Emissions</w:t>
            </w:r>
          </w:p>
        </w:tc>
        <w:tc>
          <w:tcPr/>
          <w:p>
            <w:pPr>
              <w:pStyle w:val="Compact"/>
              <w:jc w:val="left"/>
            </w:pPr>
            <w:r>
              <w:rPr>
                <w:bCs/>
                <w:b/>
              </w:rPr>
              <w:t xml:space="preserve">39.365</w:t>
            </w:r>
          </w:p>
        </w:tc>
      </w:tr>
      <w:tr>
        <w:tc>
          <w:tcPr>
            <w:gridSpan w:val="3"/>
          </w:tcPr>
          <w:p>
            <w:pPr>
              <w:pStyle w:val="Compact"/>
              <w:jc w:val="left"/>
            </w:pPr>
            <w:r>
              <w:rPr>
                <w:bCs/>
                <w:b/>
              </w:rPr>
              <w:t xml:space="preserve">Total Product Carbon Footprint (ejeedhsyoo)</w:t>
            </w:r>
          </w:p>
        </w:tc>
        <w:tc>
          <w:tcPr/>
          <w:p>
            <w:pPr>
              <w:pStyle w:val="Compact"/>
              <w:jc w:val="left"/>
            </w:pPr>
            <w:r>
              <w:rPr>
                <w:bCs/>
                <w:b/>
              </w:rPr>
              <w:t xml:space="preserve">39.557 kg CO2e</w:t>
            </w:r>
          </w:p>
        </w:tc>
      </w:tr>
    </w:tbl>
    <w:p>
      <w:pPr>
        <w:pStyle w:val="BodyText"/>
      </w:pPr>
      <w:r>
        <w:rPr>
          <w:bCs/>
          <w:b/>
        </w:rPr>
        <w:t xml:space="preserve">Scope 3 Compliance:</w:t>
      </w:r>
      <w:r>
        <w:t xml:space="preserve"> </w:t>
      </w:r>
      <w:r>
        <w:t xml:space="preserve">The comprehensive coverage of materials, transportation, use phase, and end-of-life ensures that Scope 3 reporting exceeds the 95% coverage requirement for 2026 standards.</w:t>
      </w:r>
    </w:p>
    <w:p>
      <w:r>
        <w:pict>
          <v:rect style="width:0;height:1.5pt" o:hralign="center" o:hrstd="t" o:hr="t"/>
        </w:pict>
      </w:r>
    </w:p>
    <w:bookmarkEnd w:id="39"/>
    <w:bookmarkEnd w:id="40"/>
    <w:bookmarkStart w:id="45"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The analysis clearly identifies the primary emission hotspots for</w:t>
      </w:r>
      <w:r>
        <w:t xml:space="preserve"> </w:t>
      </w:r>
      <w:r>
        <w:rPr>
          <w:bCs/>
          <w:b/>
        </w:rPr>
        <w:t xml:space="preserve">ejeedhsyoo</w:t>
      </w:r>
      <w:r>
        <w:t xml:space="preserve">:</w:t>
      </w:r>
    </w:p>
    <w:p>
      <w:pPr>
        <w:numPr>
          <w:ilvl w:val="0"/>
          <w:numId w:val="1013"/>
        </w:numPr>
        <w:pStyle w:val="Compact"/>
      </w:pPr>
      <w:r>
        <w:rPr>
          <w:bCs/>
          <w:b/>
        </w:rPr>
        <w:t xml:space="preserve">Use Phase (Category 11):</w:t>
      </w:r>
      <w:r>
        <w:t xml:space="preserve"> </w:t>
      </w:r>
      <w:r>
        <w:t xml:space="preserve">Constitutes the overwhelming majority of the PCF (approx. 96.9%). This is primarily due to the assumed continuous energy consumption of the "Smart Home Sensor" over its 7-year lifespan.</w:t>
      </w:r>
    </w:p>
    <w:p>
      <w:pPr>
        <w:numPr>
          <w:ilvl w:val="0"/>
          <w:numId w:val="1013"/>
        </w:numPr>
        <w:pStyle w:val="Compact"/>
      </w:pPr>
      <w:r>
        <w:rPr>
          <w:bCs/>
          <w:b/>
        </w:rPr>
        <w:t xml:space="preserve">Materials (Category 1):</w:t>
      </w:r>
      <w:r>
        <w:t xml:space="preserve"> </w:t>
      </w:r>
      <w:r>
        <w:t xml:space="preserve">The production of electronic components, particularly the circuit board and aggregated electronic components, represents the second-largest hotspot (approx. 2.5% of total). This underscores the high embedded carbon of specialized electronics.</w:t>
      </w:r>
    </w:p>
    <w:p>
      <w:pPr>
        <w:numPr>
          <w:ilvl w:val="0"/>
          <w:numId w:val="1013"/>
        </w:numPr>
        <w:pStyle w:val="Compact"/>
      </w:pPr>
      <w:r>
        <w:rPr>
          <w:bCs/>
          <w:b/>
        </w:rPr>
        <w:t xml:space="preserve">Manufacturing Electricity (Scope 2):</w:t>
      </w:r>
      <w:r>
        <w:t xml:space="preserve"> </w:t>
      </w:r>
      <w:r>
        <w:t xml:space="preserve">While much smaller than the use phase, this contributes significantly within the factory-gate boundary, highlighting the importance of renewable energy sourcing.</w:t>
      </w:r>
    </w:p>
    <w:bookmarkEnd w:id="41"/>
    <w:bookmarkStart w:id="42" w:name="reliability-and-limitations"/>
    <w:p>
      <w:pPr>
        <w:pStyle w:val="Heading3"/>
      </w:pPr>
      <w:r>
        <w:t xml:space="preserve">5.2. Reliability and Limitations</w:t>
      </w:r>
    </w:p>
    <w:p>
      <w:pPr>
        <w:pStyle w:val="FirstParagraph"/>
      </w:pPr>
      <w:r>
        <w:t xml:space="preserve">The reliability of this report is high, given its adherence to the GHG Protocol and the use of industry-standard emission factors. However, the following limitations should be noted:</w:t>
      </w:r>
    </w:p>
    <w:p>
      <w:pPr>
        <w:numPr>
          <w:ilvl w:val="0"/>
          <w:numId w:val="1014"/>
        </w:numPr>
        <w:pStyle w:val="Compact"/>
      </w:pPr>
      <w:r>
        <w:rPr>
          <w:bCs/>
          <w:b/>
        </w:rPr>
        <w:t xml:space="preserve">Placeholder Data Assumptions:</w:t>
      </w:r>
      <w:r>
        <w:t xml:space="preserve"> </w:t>
      </w:r>
      <w:r>
        <w:t xml:space="preserve">All specific numerical parameters (BOM details, transport distances, energy consumption, etc.) were assumed based on typical industry practices for a "Smart Home Sensor" and the provided placeholders. Actual primary data from rxfogewmmx would enhance precision.</w:t>
      </w:r>
    </w:p>
    <w:p>
      <w:pPr>
        <w:numPr>
          <w:ilvl w:val="0"/>
          <w:numId w:val="1014"/>
        </w:numPr>
        <w:pStyle w:val="Compact"/>
      </w:pPr>
      <w:r>
        <w:rPr>
          <w:bCs/>
          <w:b/>
        </w:rPr>
        <w:t xml:space="preserve">Emission Factor Specificity:</w:t>
      </w:r>
      <w:r>
        <w:t xml:space="preserve"> </w:t>
      </w:r>
      <w:r>
        <w:t xml:space="preserve">Generic Ecoinvent/DEFRA factors are used. More precise, supplier-specific emission factors for materials and processes would improve accuracy.</w:t>
      </w:r>
    </w:p>
    <w:p>
      <w:pPr>
        <w:numPr>
          <w:ilvl w:val="0"/>
          <w:numId w:val="1014"/>
        </w:numPr>
        <w:pStyle w:val="Compact"/>
      </w:pPr>
      <w:r>
        <w:rPr>
          <w:bCs/>
          <w:b/>
        </w:rPr>
        <w:t xml:space="preserve">LSR Standard:</w:t>
      </w:r>
      <w:r>
        <w:t xml:space="preserve"> </w:t>
      </w:r>
      <w:r>
        <w:t xml:space="preserve">While acknowledged, specific quantification of land use change impacts requires detailed primary data on raw material origins and land management practices, which were beyond the scope of this placeholder-driven analysis.</w:t>
      </w:r>
    </w:p>
    <w:p>
      <w:pPr>
        <w:numPr>
          <w:ilvl w:val="0"/>
          <w:numId w:val="1014"/>
        </w:numPr>
        <w:pStyle w:val="Compact"/>
      </w:pPr>
      <w:r>
        <w:rPr>
          <w:bCs/>
          <w:b/>
        </w:rPr>
        <w:t xml:space="preserve">System Boundary:</w:t>
      </w:r>
      <w:r>
        <w:t xml:space="preserve"> </w:t>
      </w:r>
      <w:r>
        <w:t xml:space="preserve">The \'factory_gate\' boundary limits direct reporting of Scope 1 to manufacturing. The inclusion of downstream Scope 3 categories offers a complete picture but extends beyond a strict factory-gate definition.</w:t>
      </w:r>
    </w:p>
    <w:bookmarkEnd w:id="42"/>
    <w:bookmarkStart w:id="44" w:name="recommendations-for-rxfogewmmx"/>
    <w:p>
      <w:pPr>
        <w:pStyle w:val="Heading3"/>
      </w:pPr>
      <w:r>
        <w:t xml:space="preserve">5.3. Recommendations for rxfogewmmx</w:t>
      </w:r>
    </w:p>
    <w:p>
      <w:pPr>
        <w:pStyle w:val="FirstParagraph"/>
      </w:pPr>
      <w:r>
        <w:t xml:space="preserve">Based on these findings,</w:t>
      </w:r>
      <w:r>
        <w:t xml:space="preserve"> </w:t>
      </w:r>
      <w:r>
        <w:rPr>
          <w:bCs/>
          <w:b/>
        </w:rPr>
        <w:t xml:space="preserve">rxfogewmmx</w:t>
      </w:r>
      <w:r>
        <w:t xml:space="preserve"> </w:t>
      </w:r>
      <w:r>
        <w:t xml:space="preserve">should prioritize the following actions:</w:t>
      </w:r>
    </w:p>
    <w:p>
      <w:pPr>
        <w:numPr>
          <w:ilvl w:val="0"/>
          <w:numId w:val="1015"/>
        </w:numPr>
        <w:pStyle w:val="Compact"/>
      </w:pPr>
      <w:r>
        <w:rPr>
          <w:bCs/>
          <w:b/>
        </w:rPr>
        <w:t xml:space="preserve">Optimize Use Phase Efficiency:</w:t>
      </w:r>
      <w:r>
        <w:t xml:space="preserve"> </w:t>
      </w:r>
      <w:r>
        <w:t xml:space="preserve">Given the dominance of use phase emissions, focus on reducing the product\'s energy consumption during operation. This could involve lower power components, more efficient software, or energy-saving modes.</w:t>
      </w:r>
    </w:p>
    <w:p>
      <w:pPr>
        <w:numPr>
          <w:ilvl w:val="0"/>
          <w:numId w:val="1015"/>
        </w:numPr>
        <w:pStyle w:val="Compact"/>
      </w:pPr>
      <w:r>
        <w:rPr>
          <w:bCs/>
          <w:b/>
        </w:rPr>
        <w:t xml:space="preserve">Enhance Material Sustainability:</w:t>
      </w:r>
      <w:r>
        <w:t xml:space="preserve"> </w:t>
      </w:r>
      <w:r>
        <w:t xml:space="preserve">Investigate alternative, lower-carbon materials for electronic components and plastics. Engage with suppliers to obtain product-specific environmental declarations (EPDs) for more accurate Scope 3 reporting.</w:t>
      </w:r>
    </w:p>
    <w:p>
      <w:pPr>
        <w:numPr>
          <w:ilvl w:val="0"/>
          <w:numId w:val="1015"/>
        </w:numPr>
        <w:pStyle w:val="Compact"/>
      </w:pPr>
      <w:r>
        <w:rPr>
          <w:bCs/>
          <w:b/>
        </w:rPr>
        <w:t xml:space="preserve">Increase Renewable Energy Sourcing:</w:t>
      </w:r>
      <w:r>
        <w:t xml:space="preserve"> </w:t>
      </w:r>
      <w:r>
        <w:t xml:space="preserve">Continue and expand efforts to source renewable energy for manufacturing operations in China, aiming for 100% renewable energy to further reduce Scope 2 emissions.</w:t>
      </w:r>
    </w:p>
    <w:p>
      <w:pPr>
        <w:numPr>
          <w:ilvl w:val="0"/>
          <w:numId w:val="1015"/>
        </w:numPr>
        <w:pStyle w:val="Compact"/>
      </w:pPr>
      <w:r>
        <w:rPr>
          <w:bCs/>
          <w:b/>
        </w:rPr>
        <w:t xml:space="preserve">Improve End-of-Life Management:</w:t>
      </w:r>
      <w:r>
        <w:t xml:space="preserve"> </w:t>
      </w:r>
      <w:r>
        <w:t xml:space="preserve">Explore robust take-back schemes and design for disassemblability and higher recyclability to minimize landfill impacts and maximize recycling credits.</w:t>
      </w:r>
    </w:p>
    <w:p>
      <w:pPr>
        <w:numPr>
          <w:ilvl w:val="0"/>
          <w:numId w:val="1015"/>
        </w:numPr>
        <w:pStyle w:val="Compact"/>
      </w:pPr>
      <w:r>
        <w:rPr>
          <w:bCs/>
          <w:b/>
        </w:rPr>
        <w:t xml:space="preserve">Supplier Engagement:</w:t>
      </w:r>
      <w:r>
        <w:t xml:space="preserve"> </w:t>
      </w:r>
      <w:r>
        <w:t xml:space="preserve">Collaborate with key suppliers, especially for electronic components, to encourage their own GHG reduction efforts and data transparency.</w:t>
      </w:r>
    </w:p>
    <w:p>
      <w:r>
        <w:pict>
          <v:rect style="width:0;height:1.5pt" o:hralign="center" o:hrstd="t" o:hr="t"/>
        </w:pict>
      </w:r>
    </w:p>
    <w:p>
      <w:pPr>
        <w:pStyle w:val="FirstParagraph"/>
      </w:pPr>
      <w:r>
        <w:t xml:space="preserve">Confidential - Internal Use Only | Page</w:t>
      </w:r>
      <w:r>
        <w:t xml:space="preserve"> </w:t>
      </w:r>
      <w:bookmarkStart w:id="43" w:name="page-number"/>
      <w:bookmarkEnd w:id="43"/>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ejeedhsyoo</dc:title>
  <dc:creator/>
  <dc:description>Detailed Product Carbon Footprint (PCF) analysis report for ejeedhsyoo, conducted by zorghegpot, Senior Sustainability Consultant, adhering to GHG Protocol standards and 2026 LSR update.</dc:description>
  <dc:language>en</dc:language>
  <cp:keywords/>
  <dcterms:created xsi:type="dcterms:W3CDTF">2026-05-30T16:45:08Z</dcterms:created>
  <dcterms:modified xsi:type="dcterms:W3CDTF">2026-05-30T16:45:08Z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