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egvilhsozg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egvilhsozg</w:t>
      </w:r>
    </w:p>
    <w:p>
      <w:pPr>
        <w:pStyle w:val="BodyText"/>
      </w:pPr>
      <w:r>
        <w:rPr>
          <w:bCs/>
          <w:b/>
        </w:rPr>
        <w:t xml:space="preserve">Company:</w:t>
      </w:r>
      <w:r>
        <w:t xml:space="preserve"> </w:t>
      </w:r>
      <w:r>
        <w:t xml:space="preserve">zuokdjrwkv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mojgwehryu</w:t>
      </w:r>
    </w:p>
    <w:p>
      <w:pPr>
        <w:pStyle w:val="BodyText"/>
      </w:pPr>
      <w:r>
        <w:t xml:space="preserve">This report is generated based on available data and industry standards, including specific parameters provided by the client.</w:t>
      </w:r>
      <w:r>
        <w:t xml:space="preserve"> </w:t>
      </w:r>
      <w:r>
        <w:t xml:space="preserve">The accuracy of the calculations relies on the completeness and correctness of the input data.</w:t>
      </w:r>
      <w:r>
        <w:t xml:space="preserve"> </w:t>
      </w:r>
      <w:r>
        <w:t xml:space="preserve">This document provides a high-level analysis and should be used for internal strategic planning and sustainability reporting.</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19,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document presents a high-detail Product Carbon Footprint (PCF) analysis for the product</w:t>
      </w:r>
      <w:r>
        <w:t xml:space="preserve"> </w:t>
      </w:r>
      <w:r>
        <w:rPr>
          <w:bCs/>
          <w:b/>
        </w:rPr>
        <w:t xml:space="preserve">egvilhsozg</w:t>
      </w:r>
      <w:r>
        <w:t xml:space="preserve">,</w:t>
      </w:r>
      <w:r>
        <w:t xml:space="preserve"> </w:t>
      </w:r>
      <w:r>
        <w:t xml:space="preserve">manufactured by</w:t>
      </w:r>
      <w:r>
        <w:t xml:space="preserve"> </w:t>
      </w:r>
      <w:r>
        <w:rPr>
          <w:bCs/>
          <w:b/>
        </w:rPr>
        <w:t xml:space="preserve">zuokdjrwkv</w:t>
      </w:r>
      <w:r>
        <w:t xml:space="preserve">. Conducted by Senior Sustainability Consultant</w:t>
      </w:r>
      <w:r>
        <w:t xml:space="preserve"> </w:t>
      </w:r>
      <w:r>
        <w:rPr>
          <w:bCs/>
          <w:b/>
        </w:rPr>
        <w:t xml:space="preserve">mojgwehryu</w:t>
      </w:r>
      <w:r>
        <w:t xml:space="preserve">,</w:t>
      </w:r>
      <w:r>
        <w:t xml:space="preserve"> </w:t>
      </w:r>
      <w:r>
        <w:t xml:space="preserve">this analysis adheres strictly to the GHG Protocol accounting standard, incorporating the latest 2026 Land Sector and Removals (LSR)</w:t>
      </w:r>
      <w:r>
        <w:t xml:space="preserve"> </w:t>
      </w:r>
      <w:r>
        <w:t xml:space="preserve">Standard and aiming for at least 95% Scope 3 coverage. The study covers the entire lifecycle, from material acquisition to</w:t>
      </w:r>
      <w:r>
        <w:t xml:space="preserve"> </w:t>
      </w:r>
      <w:r>
        <w:t xml:space="preserve">end-of-life, providing a comprehensive assessment of greenhouse gas emissions expressed in CO2 equivalent (CO2e). The objective</w:t>
      </w:r>
      <w:r>
        <w:t xml:space="preserve"> </w:t>
      </w:r>
      <w:r>
        <w:t xml:space="preserve">is to identify emission hotspots and offer strategic recommendations for reduction.</w:t>
      </w:r>
    </w:p>
    <w:p>
      <w:r>
        <w:pict>
          <v:rect style="width:0;height:1.5pt" o:hralign="center" o:hrstd="t" o:hr="t"/>
        </w:pict>
      </w:r>
    </w:p>
    <w:bookmarkEnd w:id="22"/>
    <w:bookmarkStart w:id="27" w:name="introduction-and-scope-definition"/>
    <w:p>
      <w:pPr>
        <w:pStyle w:val="Heading2"/>
      </w:pPr>
      <w:r>
        <w:t xml:space="preserve">1. Introduction and Scope Definition</w:t>
      </w:r>
    </w:p>
    <w:p>
      <w:pPr>
        <w:pStyle w:val="FirstParagraph"/>
      </w:pPr>
      <w:r>
        <w:t xml:space="preserve">This Product Carbon Footprint (PCF) analysis for product</w:t>
      </w:r>
      <w:r>
        <w:t xml:space="preserve"> </w:t>
      </w:r>
      <w:r>
        <w:rPr>
          <w:bCs/>
          <w:b/>
        </w:rPr>
        <w:t xml:space="preserve">egvilhsozg</w:t>
      </w:r>
      <w:r>
        <w:t xml:space="preserve">, produced by</w:t>
      </w:r>
      <w:r>
        <w:t xml:space="preserve"> </w:t>
      </w:r>
      <w:r>
        <w:rPr>
          <w:bCs/>
          <w:b/>
        </w:rPr>
        <w:t xml:space="preserve">zuokdjrwkv</w:t>
      </w:r>
      <w:r>
        <w:t xml:space="preserve">,</w:t>
      </w:r>
      <w:r>
        <w:t xml:space="preserve"> </w:t>
      </w:r>
      <w:r>
        <w:t xml:space="preserve">is performed in accordance with the</w:t>
      </w:r>
      <w:r>
        <w:t xml:space="preserve"> </w:t>
      </w:r>
      <w:r>
        <w:rPr>
          <w:bCs/>
          <w:b/>
        </w:rPr>
        <w:t xml:space="preserve">GHG Protocol</w:t>
      </w:r>
      <w:r>
        <w:t xml:space="preserve"> </w:t>
      </w:r>
      <w:r>
        <w:t xml:space="preserve">standards. The report aims to quantify the total greenhouse gas (GHG)</w:t>
      </w:r>
      <w:r>
        <w:t xml:space="preserve"> </w:t>
      </w:r>
      <w:r>
        <w:t xml:space="preserve">emissions associated with the product\'s entire lifecycle.</w:t>
      </w:r>
    </w:p>
    <w:bookmarkStart w:id="23"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w:t>
      </w:r>
      <w:r>
        <w:t xml:space="preserve"> </w:t>
      </w:r>
      <w:r>
        <w:t xml:space="preserve">of product egvilhsozg. This unit serves as the reference</w:t>
      </w:r>
      <w:r>
        <w:t xml:space="preserve"> </w:t>
      </w:r>
      <w:r>
        <w:t xml:space="preserve">basis for all calculations, ensuring comparability and consistency.</w:t>
      </w:r>
    </w:p>
    <w:bookmarkEnd w:id="23"/>
    <w:bookmarkStart w:id="24"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"cradle-to-gate" boundary includes</w:t>
      </w:r>
      <w:r>
        <w:t xml:space="preserve"> </w:t>
      </w:r>
      <w:r>
        <w:t xml:space="preserve">all emissions from the extraction of raw materials, transportation to the manufacturing facility, and the manufacturing processes</w:t>
      </w:r>
      <w:r>
        <w:t xml:space="preserve"> </w:t>
      </w:r>
      <w:r>
        <w:t xml:space="preserve">up to the point where the product leaves the factory gate. While the primary boundary is factory_gate, the analysis is</w:t>
      </w:r>
      <w:r>
        <w:t xml:space="preserve"> </w:t>
      </w:r>
      <w:r>
        <w:t xml:space="preserve">expanded to include downstream emissions from transport to customer, use phase, and end-of-life, as required by a comprehensive PCF.</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defines the regions from which materials are sourced, where manufacturing occurs, and the primary</w:t>
      </w:r>
      <w:r>
        <w:t xml:space="preserve"> </w:t>
      </w:r>
      <w:r>
        <w:t xml:space="preserve">destination for distribution, influencing applicable emission factors and logistical considerations.</w:t>
      </w:r>
    </w:p>
    <w:bookmarkEnd w:id="25"/>
    <w:bookmarkStart w:id="26" w:name="allocation"/>
    <w:p>
      <w:pPr>
        <w:pStyle w:val="Heading3"/>
      </w:pPr>
      <w:r>
        <w:t xml:space="preserve">1.4 Allocation</w:t>
      </w:r>
    </w:p>
    <w:p>
      <w:pPr>
        <w:pStyle w:val="FirstParagraph"/>
      </w:pPr>
      <w:r>
        <w:t xml:space="preserve">Allocation procedures will be applied as necessary to partition the environmental burdens of multi-output processes</w:t>
      </w:r>
      <w:r>
        <w:t xml:space="preserve"> </w:t>
      </w:r>
      <w:r>
        <w:t xml:space="preserve">or facilities across co-products, by-products, and waste streams, ensuring that egvilhsozg bears its fair share of environmental</w:t>
      </w:r>
      <w:r>
        <w:t xml:space="preserve"> </w:t>
      </w:r>
      <w:r>
        <w:t xml:space="preserve">impacts based on established GHG Protocol guidelines.</w:t>
      </w:r>
    </w:p>
    <w:p>
      <w:r>
        <w:pict>
          <v:rect style="width:0;height:1.5pt" o:hralign="center" o:hrstd="t" o:hr="t"/>
        </w:pict>
      </w:r>
    </w:p>
    <w:bookmarkEnd w:id="26"/>
    <w:bookmarkEnd w:id="27"/>
    <w:bookmarkStart w:id="29" w:name="lifecycle-mapping-and-inventory-stages"/>
    <w:p>
      <w:pPr>
        <w:pStyle w:val="Heading2"/>
      </w:pPr>
      <w:r>
        <w:t xml:space="preserve">2. Lifecycle Mapping and Inventory Stages</w:t>
      </w:r>
    </w:p>
    <w:p>
      <w:pPr>
        <w:pStyle w:val="FirstParagraph"/>
      </w:pPr>
      <w:r>
        <w:t xml:space="preserve">The lifecycle of product egvilhsozg is mapped out across several key stages, from raw material acquisition to end-of-life.</w:t>
      </w:r>
      <w:r>
        <w:t xml:space="preserve"> </w:t>
      </w:r>
      <w:r>
        <w:t xml:space="preserve">This mapping helps in systematically identifying all relevant inputs and outputs for GHG emission calculation.</w:t>
      </w:r>
    </w:p>
    <w:bookmarkStart w:id="28" w:name="life-cycle-stages"/>
    <w:p>
      <w:pPr>
        <w:pStyle w:val="Heading3"/>
      </w:pPr>
      <w:r>
        <w:t xml:space="preserve">2.1 Life Cycle Stages</w:t>
      </w:r>
    </w:p>
    <w:p>
      <w:pPr>
        <w:numPr>
          <w:ilvl w:val="0"/>
          <w:numId w:val="1002"/>
        </w:numPr>
        <w:pStyle w:val="Compact"/>
      </w:pPr>
      <w:r>
        <w:rPr>
          <w:bCs/>
          <w:b/>
        </w:rPr>
        <w:t xml:space="preserve">Materials Acquisition &amp; Pre-processing:</w:t>
      </w:r>
      <w:r>
        <w:t xml:space="preserve"> </w:t>
      </w:r>
      <w:r>
        <w:t xml:space="preserve">Extraction, processing, and refining of raw materials.</w:t>
      </w:r>
    </w:p>
    <w:p>
      <w:pPr>
        <w:numPr>
          <w:ilvl w:val="0"/>
          <w:numId w:val="1002"/>
        </w:numPr>
        <w:pStyle w:val="Compact"/>
      </w:pPr>
      <w:r>
        <w:rPr>
          <w:bCs/>
          <w:b/>
        </w:rPr>
        <w:t xml:space="preserve">Manufacturing:</w:t>
      </w:r>
      <w:r>
        <w:t xml:space="preserve"> </w:t>
      </w:r>
      <w:r>
        <w:t xml:space="preserve">Production processes at the zuokdjrwkv facility in China.</w:t>
      </w:r>
    </w:p>
    <w:p>
      <w:pPr>
        <w:numPr>
          <w:ilvl w:val="0"/>
          <w:numId w:val="1002"/>
        </w:numPr>
        <w:pStyle w:val="Compact"/>
      </w:pPr>
      <w:r>
        <w:rPr>
          <w:bCs/>
          <w:b/>
        </w:rPr>
        <w:t xml:space="preserve">Distribution &amp; Transport:</w:t>
      </w:r>
      <w:r>
        <w:t xml:space="preserve"> </w:t>
      </w:r>
      <w:r>
        <w:t xml:space="preserve">Logistics from factory gate to end-user.</w:t>
      </w:r>
    </w:p>
    <w:p>
      <w:pPr>
        <w:numPr>
          <w:ilvl w:val="0"/>
          <w:numId w:val="1002"/>
        </w:numPr>
        <w:pStyle w:val="Compact"/>
      </w:pPr>
      <w:r>
        <w:rPr>
          <w:bCs/>
          <w:b/>
        </w:rPr>
        <w:t xml:space="preserve">Use Phase:</w:t>
      </w:r>
      <w:r>
        <w:t xml:space="preserve"> </w:t>
      </w:r>
      <w:r>
        <w:t xml:space="preserve">Energy consumption and maintenance during the product\'s lifespan.</w:t>
      </w:r>
    </w:p>
    <w:p>
      <w:pPr>
        <w:numPr>
          <w:ilvl w:val="0"/>
          <w:numId w:val="1002"/>
        </w:numPr>
        <w:pStyle w:val="Compact"/>
      </w:pPr>
      <w:r>
        <w:rPr>
          <w:bCs/>
          <w:b/>
        </w:rPr>
        <w:t xml:space="preserve">End-of-Life:</w:t>
      </w:r>
      <w:r>
        <w:t xml:space="preserve"> </w:t>
      </w:r>
      <w:r>
        <w:t xml:space="preserve">Disposal, recycling, or recovery processes after the product\'s use.</w:t>
      </w:r>
    </w:p>
    <w:p>
      <w:r>
        <w:pict>
          <v:rect style="width:0;height:1.5pt" o:hralign="center" o:hrstd="t" o:hr="t"/>
        </w:pict>
      </w:r>
    </w:p>
    <w:bookmarkEnd w:id="28"/>
    <w:bookmarkEnd w:id="29"/>
    <w:bookmarkStart w:id="35" w:name="data-collection-and-inventory-analysis"/>
    <w:p>
      <w:pPr>
        <w:pStyle w:val="Heading2"/>
      </w:pPr>
      <w:r>
        <w:t xml:space="preserve">3. Data Collection and Inventory Analysis</w:t>
      </w:r>
    </w:p>
    <w:p>
      <w:pPr>
        <w:pStyle w:val="FirstParagraph"/>
      </w:pPr>
      <w:r>
        <w:t xml:space="preserve">Data collection involves gathering both primary and secondary data points across the identified lifecycle stages.</w:t>
      </w:r>
      <w:r>
        <w:t xml:space="preserve"> </w:t>
      </w:r>
      <w:r>
        <w:t xml:space="preserve">For high accuracy, specific client-provided parameters are incorporated.</w:t>
      </w:r>
    </w:p>
    <w:bookmarkStart w:id="30" w:name="detailed-bill-of-materials-bom"/>
    <w:p>
      <w:pPr>
        <w:pStyle w:val="Heading3"/>
      </w:pPr>
      <w:r>
        <w:t xml:space="preserve">3.1 Detailed Bill of Materials (BOM)</w:t>
      </w:r>
    </w:p>
    <w:p>
      <w:pPr>
        <w:pStyle w:val="FirstParagraph"/>
      </w:pPr>
      <w:r>
        <w:t xml:space="preserve">The provided Detailed Bill of Materials (BOM) for egvilhsozg, represented by the placeholder value "drrhtwqr",</w:t>
      </w:r>
      <w:r>
        <w:t xml:space="preserve"> </w:t>
      </w:r>
      <w:r>
        <w:t xml:space="preserve">is crucial for calculating the material impact. Below is an illustrative example of how the BOM data, following the specified format,</w:t>
      </w:r>
      <w:r>
        <w:t xml:space="preserve"> </w:t>
      </w:r>
      <w:r>
        <w:t xml:space="preserve">would be structured and used for material impact calculation.</w:t>
      </w:r>
      <w:r>
        <w:t xml:space="preserve"> </w:t>
      </w:r>
      <w:r>
        <w:rPr>
          <w:iCs/>
          <w:i/>
        </w:rPr>
        <w:t xml:space="preserve">(Note: Actual numerical values for \'Qty\', \'Emission Factor\', and \'Total Carbon\' from the complete \'drrhtwqr\' data would be used for precise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(example)</w:t>
            </w:r>
          </w:p>
        </w:tc>
        <w:tc>
          <w:tcPr/>
          <w:p>
            <w:pPr>
              <w:pStyle w:val="Compact"/>
              <w:jc w:val="left"/>
            </w:pPr>
            <w:r>
              <w:t xml:space="preserve">Unit (example)</w:t>
            </w:r>
          </w:p>
        </w:tc>
        <w:tc>
          <w:tcPr/>
          <w:p>
            <w:pPr>
              <w:pStyle w:val="Compact"/>
              <w:jc w:val="left"/>
            </w:pPr>
            <w:r>
              <w:t xml:space="preserve">Emission Factor (kgCO2e/unit) (example)</w:t>
            </w:r>
          </w:p>
        </w:tc>
        <w:tc>
          <w:tcPr/>
          <w:p>
            <w:pPr>
              <w:pStyle w:val="Compact"/>
              <w:jc w:val="left"/>
            </w:pPr>
            <w:r>
              <w:t xml:space="preserve">Total Carbon (kgCO2e) (example)</w:t>
            </w:r>
          </w:p>
        </w:tc>
      </w:tr>
      <w:tr>
        <w:tc>
          <w:tcPr/>
          <w:p>
            <w:pPr>
              <w:pStyle w:val="Compact"/>
              <w:jc w:val="left"/>
            </w:pPr>
            <w:r>
              <w:t xml:space="preserve">M1</w:t>
            </w:r>
          </w:p>
        </w:tc>
        <w:tc>
          <w:tcPr/>
          <w:p>
            <w:pPr>
              <w:pStyle w:val="Compact"/>
              <w:jc w:val="left"/>
            </w:pPr>
            <w:r>
              <w:t xml:space="preserve">Steel Alloy</w:t>
            </w:r>
          </w:p>
        </w:tc>
        <w:tc>
          <w:tcPr/>
          <w:p>
            <w:pPr>
              <w:pStyle w:val="Compact"/>
              <w:jc w:val="left"/>
            </w:pPr>
            <w:r>
              <w:t xml:space="preserve">Metal</w:t>
            </w:r>
          </w:p>
        </w:tc>
        <w:tc>
          <w:tcPr/>
          <w:p>
            <w:pPr>
              <w:pStyle w:val="Compact"/>
              <w:jc w:val="left"/>
            </w:pPr>
            <w:r>
              <w:t xml:space="preserve">Hot Rolling</w:t>
            </w:r>
          </w:p>
        </w:tc>
        <w:tc>
          <w:tcPr/>
          <w:p>
            <w:pPr>
              <w:pStyle w:val="Compact"/>
              <w:jc w:val="left"/>
            </w:pPr>
            <w:r>
              <w:t xml:space="preserve">150</w:t>
            </w:r>
          </w:p>
        </w:tc>
        <w:tc>
          <w:tcPr/>
          <w:p>
            <w:pPr>
              <w:pStyle w:val="Compact"/>
              <w:jc w:val="left"/>
            </w:pPr>
            <w:r>
              <w:t xml:space="preserve">kg</w:t>
            </w:r>
          </w:p>
        </w:tc>
        <w:tc>
          <w:tcPr/>
          <w:p>
            <w:pPr>
              <w:pStyle w:val="Compact"/>
              <w:jc w:val="left"/>
            </w:pPr>
            <w:r>
              <w:t xml:space="preserve">2.5</w:t>
            </w:r>
          </w:p>
        </w:tc>
        <w:tc>
          <w:tcPr/>
          <w:p>
            <w:pPr>
              <w:pStyle w:val="Compact"/>
              <w:jc w:val="left"/>
            </w:pPr>
            <w:r>
              <w:t xml:space="preserve">375</w:t>
            </w:r>
          </w:p>
        </w:tc>
      </w:tr>
      <w:tr>
        <w:tc>
          <w:tcPr/>
          <w:p>
            <w:pPr>
              <w:pStyle w:val="Compact"/>
              <w:jc w:val="left"/>
            </w:pPr>
            <w:r>
              <w:t xml:space="preserve">P2</w:t>
            </w:r>
          </w:p>
        </w:tc>
        <w:tc>
          <w:tcPr/>
          <w:p>
            <w:pPr>
              <w:pStyle w:val="Compact"/>
              <w:jc w:val="left"/>
            </w:pPr>
            <w:r>
              <w:t xml:space="preserve">Polypropylene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75</w:t>
            </w:r>
          </w:p>
        </w:tc>
        <w:tc>
          <w:tcPr/>
          <w:p>
            <w:pPr>
              <w:pStyle w:val="Compact"/>
              <w:jc w:val="left"/>
            </w:pPr>
            <w:r>
              <w:t xml:space="preserve">kg</w:t>
            </w:r>
          </w:p>
        </w:tc>
        <w:tc>
          <w:tcPr/>
          <w:p>
            <w:pPr>
              <w:pStyle w:val="Compact"/>
              <w:jc w:val="left"/>
            </w:pPr>
            <w:r>
              <w:t xml:space="preserve">1.8</w:t>
            </w:r>
          </w:p>
        </w:tc>
        <w:tc>
          <w:tcPr/>
          <w:p>
            <w:pPr>
              <w:pStyle w:val="Compact"/>
              <w:jc w:val="left"/>
            </w:pPr>
            <w:r>
              <w:t xml:space="preserve">135</w:t>
            </w:r>
          </w:p>
        </w:tc>
      </w:tr>
      <w:tr>
        <w:tc>
          <w:tcPr/>
          <w:p>
            <w:pPr>
              <w:pStyle w:val="Compact"/>
              <w:jc w:val="left"/>
            </w:pPr>
            <w:r>
              <w:t xml:space="preserve">E3</w:t>
            </w:r>
          </w:p>
        </w:tc>
        <w:tc>
          <w:tcPr/>
          <w:p>
            <w:pPr>
              <w:pStyle w:val="Compact"/>
              <w:jc w:val="left"/>
            </w:pPr>
            <w:r>
              <w:t xml:space="preserve">Copper Wiring</w:t>
            </w:r>
          </w:p>
        </w:tc>
        <w:tc>
          <w:tcPr/>
          <w:p>
            <w:pPr>
              <w:pStyle w:val="Compact"/>
              <w:jc w:val="left"/>
            </w:pPr>
            <w:r>
              <w:t xml:space="preserve">Electrical</w:t>
            </w:r>
          </w:p>
        </w:tc>
        <w:tc>
          <w:tcPr/>
          <w:p>
            <w:pPr>
              <w:pStyle w:val="Compact"/>
              <w:jc w:val="left"/>
            </w:pPr>
            <w:r>
              <w:t xml:space="preserve">Wire Drawing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3.0</w:t>
            </w:r>
          </w:p>
        </w:tc>
        <w:tc>
          <w:tcPr/>
          <w:p>
            <w:pPr>
              <w:pStyle w:val="Compact"/>
              <w:jc w:val="left"/>
            </w:pPr>
            <w:r>
              <w:t xml:space="preserve">30</w:t>
            </w:r>
          </w:p>
        </w:tc>
      </w:tr>
      <w:tr>
        <w:tc>
          <w:tcPr/>
          <w:p>
            <w:pPr>
              <w:pStyle w:val="Compact"/>
              <w:jc w:val="left"/>
            </w:pPr>
            <w:r>
              <w:t xml:space="preserve">C4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Etching</w:t>
            </w:r>
          </w:p>
        </w:tc>
        <w:tc>
          <w:tcPr/>
          <w:p>
            <w:pPr>
              <w:pStyle w:val="Compact"/>
              <w:jc w:val="left"/>
            </w:pPr>
            <w:r>
              <w:t xml:space="preserve">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w:t>
            </w:r>
          </w:p>
        </w:tc>
      </w:tr>
    </w:tbl>
    <w:bookmarkEnd w:id="30"/>
    <w:bookmarkStart w:id="31" w:name="energy-inputs-manufacturing-phase"/>
    <w:p>
      <w:pPr>
        <w:pStyle w:val="Heading3"/>
      </w:pPr>
      <w:r>
        <w:t xml:space="preserve">3.2 Energy Inputs (Manufacturing Phase)</w:t>
      </w:r>
    </w:p>
    <w:p>
      <w:pPr>
        <w:numPr>
          <w:ilvl w:val="0"/>
          <w:numId w:val="1003"/>
        </w:numPr>
        <w:pStyle w:val="Compact"/>
      </w:pPr>
      <w:r>
        <w:rPr>
          <w:bCs/>
          <w:b/>
        </w:rPr>
        <w:t xml:space="preserve">Renewable Energy Usage:</w:t>
      </w:r>
      <w:r>
        <w:t xml:space="preserve"> </w:t>
      </w:r>
      <w:r>
        <w:t xml:space="preserve">`wyzszroitg` (e.g., "75% Green Electricity")</w:t>
      </w:r>
    </w:p>
    <w:p>
      <w:pPr>
        <w:numPr>
          <w:ilvl w:val="0"/>
          <w:numId w:val="1003"/>
        </w:numPr>
        <w:pStyle w:val="Compact"/>
      </w:pPr>
      <w:r>
        <w:rPr>
          <w:bCs/>
          <w:b/>
        </w:rPr>
        <w:t xml:space="preserve">Energy Intensity (kWh/unit):</w:t>
      </w:r>
      <w:r>
        <w:t xml:space="preserve"> </w:t>
      </w:r>
      <w:r>
        <w:t xml:space="preserve">`zoxwzsyytd` (e.g., "150 kWh/unit")</w:t>
      </w:r>
    </w:p>
    <w:p>
      <w:pPr>
        <w:pStyle w:val="FirstParagraph"/>
      </w:pPr>
      <w:r>
        <w:t xml:space="preserve">These parameters are critical for accurately calculating emissions from the manufacturing process. The renewable energy usage directly</w:t>
      </w:r>
      <w:r>
        <w:t xml:space="preserve"> </w:t>
      </w:r>
      <w:r>
        <w:t xml:space="preserve">reduces the carbon intensity of the purchased electricity (Scope 2 emissions).</w:t>
      </w:r>
    </w:p>
    <w:bookmarkEnd w:id="31"/>
    <w:bookmarkStart w:id="32" w:name="logistics-data"/>
    <w:p>
      <w:pPr>
        <w:pStyle w:val="Heading3"/>
      </w:pPr>
      <w:r>
        <w:t xml:space="preserve">3.3 Logistics Data</w:t>
      </w:r>
    </w:p>
    <w:p>
      <w:pPr>
        <w:numPr>
          <w:ilvl w:val="0"/>
          <w:numId w:val="1004"/>
        </w:numPr>
        <w:pStyle w:val="Compact"/>
      </w:pPr>
      <w:r>
        <w:rPr>
          <w:bCs/>
          <w:b/>
        </w:rPr>
        <w:t xml:space="preserve">Transport Mode:</w:t>
      </w:r>
      <w:r>
        <w:t xml:space="preserve"> </w:t>
      </w:r>
      <w:r>
        <w:t xml:space="preserve">`Select Mode` (e.g., "Ocean Freight &amp; Road")</w:t>
      </w:r>
    </w:p>
    <w:p>
      <w:pPr>
        <w:numPr>
          <w:ilvl w:val="0"/>
          <w:numId w:val="1004"/>
        </w:numPr>
        <w:pStyle w:val="Compact"/>
      </w:pPr>
      <w:r>
        <w:rPr>
          <w:bCs/>
          <w:b/>
        </w:rPr>
        <w:t xml:space="preserve">Transport Distance:</w:t>
      </w:r>
      <w:r>
        <w:t xml:space="preserve"> </w:t>
      </w:r>
      <w:r>
        <w:t xml:space="preserve">`gwxfkqmsku` (e.g., "10,000 km ocean, 500 km road")</w:t>
      </w:r>
    </w:p>
    <w:p>
      <w:pPr>
        <w:numPr>
          <w:ilvl w:val="0"/>
          <w:numId w:val="1004"/>
        </w:numPr>
        <w:pStyle w:val="Compact"/>
      </w:pPr>
      <w:r>
        <w:rPr>
          <w:bCs/>
          <w:b/>
        </w:rPr>
        <w:t xml:space="preserve">Last-Mile Delivery Channel:</w:t>
      </w:r>
      <w:r>
        <w:t xml:space="preserve"> </w:t>
      </w:r>
      <w:r>
        <w:t xml:space="preserve">`Delivery Type` (e.g., "Parcel Post")</w:t>
      </w:r>
    </w:p>
    <w:p>
      <w:pPr>
        <w:pStyle w:val="FirstParagraph"/>
      </w:pPr>
      <w:r>
        <w:t xml:space="preserve">This data will inform the calculation of Scope 3, Category 4 (Transportation and Distribution, Upstream) and Category 9 (Downstream Transportation and Distribution)</w:t>
      </w:r>
      <w:r>
        <w:t xml:space="preserve"> </w:t>
      </w:r>
      <w:r>
        <w:t xml:space="preserve">emissions.</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`ttvwnlnqmq` (e.g., "5 years")</w:t>
      </w:r>
    </w:p>
    <w:p>
      <w:pPr>
        <w:numPr>
          <w:ilvl w:val="0"/>
          <w:numId w:val="1005"/>
        </w:numPr>
        <w:pStyle w:val="Compact"/>
      </w:pPr>
      <w:r>
        <w:rPr>
          <w:bCs/>
          <w:b/>
        </w:rPr>
        <w:t xml:space="preserve">Energy Consumption in Use:</w:t>
      </w:r>
      <w:r>
        <w:t xml:space="preserve"> </w:t>
      </w:r>
      <w:r>
        <w:t xml:space="preserve">`nnhxuyzwho` (e.g., "20 kWh/year")</w:t>
      </w:r>
    </w:p>
    <w:p>
      <w:pPr>
        <w:pStyle w:val="FirstParagraph"/>
      </w:pPr>
      <w:r>
        <w:t xml:space="preserve">These inputs are used to model the energy consumption and associated emissions over the product\'s active life, contributing to Scope 3, Category 11 (Use of Sold Products) emissions.</w:t>
      </w:r>
    </w:p>
    <w:bookmarkEnd w:id="33"/>
    <w:bookmarkStart w:id="34"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`ufqtqstfdp` (e.g., "80%")</w:t>
      </w:r>
    </w:p>
    <w:p>
      <w:pPr>
        <w:numPr>
          <w:ilvl w:val="0"/>
          <w:numId w:val="1006"/>
        </w:numPr>
        <w:pStyle w:val="Compact"/>
      </w:pPr>
      <w:r>
        <w:rPr>
          <w:bCs/>
          <w:b/>
        </w:rPr>
        <w:t xml:space="preserve">Circular/Take-back Programs:</w:t>
      </w:r>
      <w:r>
        <w:t xml:space="preserve"> </w:t>
      </w:r>
      <w:r>
        <w:t xml:space="preserve">`wmxigqjgir` (e.g., "Active regional take-back scheme")</w:t>
      </w:r>
    </w:p>
    <w:p>
      <w:pPr>
        <w:pStyle w:val="FirstParagraph"/>
      </w:pPr>
      <w:r>
        <w:t xml:space="preserve">EoL data informs the calculation of avoided emissions through recycling and the impact of disposal, contributing to Scope 3, Category 12 (End-of-Life Treatment of Sold Products).</w:t>
      </w:r>
    </w:p>
    <w:p>
      <w:r>
        <w:pict>
          <v:rect style="width:0;height:1.5pt" o:hralign="center" o:hrstd="t" o:hr="t"/>
        </w:pict>
      </w:r>
    </w:p>
    <w:bookmarkEnd w:id="34"/>
    <w:bookmarkEnd w:id="35"/>
    <w:bookmarkStart w:id="44" w:name="emissions-calculation"/>
    <w:p>
      <w:pPr>
        <w:pStyle w:val="Heading2"/>
      </w:pPr>
      <w:r>
        <w:t xml:space="preserve">4. Emissions Calculation</w:t>
      </w:r>
    </w:p>
    <w:p>
      <w:pPr>
        <w:pStyle w:val="FirstParagraph"/>
      </w:pPr>
      <w:r>
        <w:t xml:space="preserve">Emissions are calculated using the formula:</w:t>
      </w:r>
      <w:r>
        <w:t xml:space="preserve"> </w:t>
      </w:r>
      <w:r>
        <w:rPr>
          <w:rStyle w:val="VerbatimChar"/>
        </w:rPr>
        <w:t xml:space="preserve">Activity Data × Emission Factor = CO2e</w:t>
      </w:r>
      <w:r>
        <w:t xml:space="preserve">. Industry-standard</w:t>
      </w:r>
      <w:r>
        <w:t xml:space="preserve"> </w:t>
      </w:r>
      <w:r>
        <w:t xml:space="preserve">emission factors (e.g., from Ecoinvent, DEFRA, or regional electricity grid mixes) are applied. Emissions are categorized</w:t>
      </w:r>
      <w:r>
        <w:t xml:space="preserve"> </w:t>
      </w:r>
      <w:r>
        <w:t xml:space="preserve">according to the GHG Protocol.</w:t>
      </w:r>
    </w:p>
    <w:bookmarkStart w:id="36" w:name="scope-1-emissions-direct-emissions"/>
    <w:p>
      <w:pPr>
        <w:pStyle w:val="Heading3"/>
      </w:pPr>
      <w:r>
        <w:t xml:space="preserve">4.1 Scope 1 Emissions (Direct Emissions)</w:t>
      </w:r>
    </w:p>
    <w:p>
      <w:pPr>
        <w:pStyle w:val="FirstParagraph"/>
      </w:pPr>
      <w:r>
        <w:t xml:space="preserve">These are direct GHG emissions from sources owned or controlled by zuokdjrwkv. For a factory_gate boundary, this typically includes</w:t>
      </w:r>
      <w:r>
        <w:t xml:space="preserve"> </w:t>
      </w:r>
      <w:r>
        <w:t xml:space="preserve">on-site combustion of fuels (e.g., for heating, vehicles, or industrial processes) and fugitive emissions from refrigerants.</w:t>
      </w:r>
      <w:r>
        <w:t xml:space="preserve"> </w:t>
      </w:r>
      <w:r>
        <w:rPr>
          <w:iCs/>
          <w:i/>
        </w:rPr>
        <w:t xml:space="preserve">(Note: Specific fuel consumption data for zuokdjrwkv\'s operations would be required for precise calculations. For this report, we assume minimal direct operational emissions within the factory_gate boundary unless specific client data contradicts this.)</w:t>
      </w:r>
    </w:p>
    <w:bookmarkEnd w:id="36"/>
    <w:bookmarkStart w:id="37" w:name="scope-2-emissions-purchased-energy"/>
    <w:p>
      <w:pPr>
        <w:pStyle w:val="Heading3"/>
      </w:pPr>
      <w:r>
        <w:t xml:space="preserve">4.2 Scope 2 Emissions (Purchased Energy)</w:t>
      </w:r>
    </w:p>
    <w:p>
      <w:pPr>
        <w:pStyle w:val="FirstParagraph"/>
      </w:pPr>
      <w:r>
        <w:t xml:space="preserve">These are indirect GHG emissions from the generation of purchased electricity, heat, or steam consumed by zuokdjrwkv.</w:t>
      </w:r>
    </w:p>
    <w:p>
      <w:pPr>
        <w:numPr>
          <w:ilvl w:val="0"/>
          <w:numId w:val="1007"/>
        </w:numPr>
        <w:pStyle w:val="Compact"/>
      </w:pPr>
      <w:r>
        <w:rPr>
          <w:bCs/>
          <w:b/>
        </w:rPr>
        <w:t xml:space="preserve">Energy Intensity:</w:t>
      </w:r>
      <w:r>
        <w:t xml:space="preserve"> </w:t>
      </w:r>
      <w:r>
        <w:t xml:space="preserve">`zoxwzsyytd` (e.g., 150 kWh/unit)</w:t>
      </w:r>
    </w:p>
    <w:p>
      <w:pPr>
        <w:numPr>
          <w:ilvl w:val="0"/>
          <w:numId w:val="1007"/>
        </w:numPr>
        <w:pStyle w:val="Compact"/>
      </w:pPr>
      <w:r>
        <w:rPr>
          <w:bCs/>
          <w:b/>
        </w:rPr>
        <w:t xml:space="preserve">Renewable Energy Usage:</w:t>
      </w:r>
      <w:r>
        <w:t xml:space="preserve"> </w:t>
      </w:r>
      <w:r>
        <w:t xml:space="preserve">`wyzszroitg` (e.g., 75% green electricity)</w:t>
      </w:r>
    </w:p>
    <w:p>
      <w:pPr>
        <w:pStyle w:val="FirstParagraph"/>
      </w:pPr>
      <w:r>
        <w:t xml:space="preserve">The actual grid emission factor for China would be adjusted based on the percentage of renewable energy purchased by zuokdjrwkv.</w:t>
      </w:r>
      <w:r>
        <w:t xml:space="preserve"> </w:t>
      </w:r>
      <w:r>
        <w:t xml:space="preserve">For example, if the grid factor is X kgCO2e/kWh and `wyzszroitg` is 75%, the effective factor would be X * (1 - 0.75).</w:t>
      </w:r>
    </w:p>
    <w:bookmarkEnd w:id="37"/>
    <w:bookmarkStart w:id="42" w:name="scope-3-emissions-value-chain-emissions"/>
    <w:p>
      <w:pPr>
        <w:pStyle w:val="Heading3"/>
      </w:pPr>
      <w:r>
        <w:t xml:space="preserve">4.3 Scope 3 Emissions (Value Chain Emissions)</w:t>
      </w:r>
    </w:p>
    <w:p>
      <w:pPr>
        <w:pStyle w:val="FirstParagraph"/>
      </w:pPr>
      <w:r>
        <w:t xml:space="preserve">Scope 3 emissions are all other indirect emissions that occur in a company\'s value chain. This analysis ensures at least</w:t>
      </w:r>
      <w:r>
        <w:t xml:space="preserve"> </w:t>
      </w:r>
      <w:r>
        <w:t xml:space="preserve">95% coverage for Scope 3 reporting, as per 2026 requirements.</w:t>
      </w:r>
    </w:p>
    <w:bookmarkStart w:id="38" w:name="Xe9364ecfb033bbfa79f9e21fb5cacea065e12a4"/>
    <w:p>
      <w:pPr>
        <w:pStyle w:val="Heading4"/>
      </w:pPr>
      <w:r>
        <w:t xml:space="preserve">4.3.1 Category 1: Purchased Goods and Services (Material Impact)</w:t>
      </w:r>
    </w:p>
    <w:p>
      <w:pPr>
        <w:pStyle w:val="FirstParagraph"/>
      </w:pPr>
      <w:r>
        <w:t xml:space="preserve">Emissions associated with the production of raw materials and components listed in the Detailed Bill of Materials (BOM),</w:t>
      </w:r>
      <w:r>
        <w:t xml:space="preserve"> </w:t>
      </w:r>
      <w:r>
        <w:t xml:space="preserve">\'drrhtwqr\', are calculated using material-specific emission factors. As shown in the illustrative BOM table in Section 3.1,</w:t>
      </w:r>
      <w:r>
        <w:t xml:space="preserve"> </w:t>
      </w:r>
      <w:r>
        <w:t xml:space="preserve">each material\'s quantity is multiplied by its respective emission factor to derive its carbon contribution.</w:t>
      </w:r>
      <w:r>
        <w:t xml:space="preserve"> </w:t>
      </w:r>
      <w:r>
        <w:t xml:space="preserve">The "Supply Chain Focus: Europe Focused" implies that where possible, European supply chain specific emission factors would be prioritized.</w:t>
      </w:r>
    </w:p>
    <w:bookmarkEnd w:id="38"/>
    <w:bookmarkStart w:id="39" w:name="Xe89e0a56fad43ffa0ef954ec8eb4af10b66d99f"/>
    <w:p>
      <w:pPr>
        <w:pStyle w:val="Heading4"/>
      </w:pPr>
      <w:r>
        <w:t xml:space="preserve">4.3.2 Category 4 &amp; 9: Transportation and Distribution (Upstream &amp; Downstream)</w:t>
      </w:r>
    </w:p>
    <w:p>
      <w:pPr>
        <w:pStyle w:val="FirstParagraph"/>
      </w:pPr>
      <w:r>
        <w:t xml:space="preserve">Emissions from the transportation of raw materials to the factory (upstream) and the finished product to the customer (downstream) are calculated</w:t>
      </w:r>
      <w:r>
        <w:t xml:space="preserve"> </w:t>
      </w:r>
      <w:r>
        <w:t xml:space="preserve">based on the provided logistics data:</w:t>
      </w:r>
    </w:p>
    <w:p>
      <w:pPr>
        <w:numPr>
          <w:ilvl w:val="0"/>
          <w:numId w:val="1008"/>
        </w:numPr>
        <w:pStyle w:val="Compact"/>
      </w:pPr>
      <w:r>
        <w:rPr>
          <w:bCs/>
          <w:b/>
        </w:rPr>
        <w:t xml:space="preserve">Transport Mode:</w:t>
      </w:r>
      <w:r>
        <w:t xml:space="preserve"> </w:t>
      </w:r>
      <w:r>
        <w:t xml:space="preserve">`Select Mode` (e.g., Ocean Freight, Road Freight)</w:t>
      </w:r>
    </w:p>
    <w:p>
      <w:pPr>
        <w:numPr>
          <w:ilvl w:val="0"/>
          <w:numId w:val="1008"/>
        </w:numPr>
        <w:pStyle w:val="Compact"/>
      </w:pPr>
      <w:r>
        <w:rPr>
          <w:bCs/>
          <w:b/>
        </w:rPr>
        <w:t xml:space="preserve">Transport Distance:</w:t>
      </w:r>
      <w:r>
        <w:t xml:space="preserve"> </w:t>
      </w:r>
      <w:r>
        <w:t xml:space="preserve">`gwxfkqmsku` (e.g., 10,000 km ocean, 500 km road)</w:t>
      </w:r>
    </w:p>
    <w:p>
      <w:pPr>
        <w:numPr>
          <w:ilvl w:val="0"/>
          <w:numId w:val="1008"/>
        </w:numPr>
        <w:pStyle w:val="Compact"/>
      </w:pPr>
      <w:r>
        <w:rPr>
          <w:bCs/>
          <w:b/>
        </w:rPr>
        <w:t xml:space="preserve">Last-Mile Delivery Channel:</w:t>
      </w:r>
      <w:r>
        <w:t xml:space="preserve"> </w:t>
      </w:r>
      <w:r>
        <w:t xml:space="preserve">`Delivery Type` (e.g., Parcel Post)</w:t>
      </w:r>
    </w:p>
    <w:p>
      <w:pPr>
        <w:pStyle w:val="FirstParagraph"/>
      </w:pPr>
      <w:r>
        <w:t xml:space="preserve">Emission factors specific to each transport mode and distance are applied.</w:t>
      </w:r>
    </w:p>
    <w:bookmarkEnd w:id="39"/>
    <w:bookmarkStart w:id="40" w:name="category-11-use-of-sold-products"/>
    <w:p>
      <w:pPr>
        <w:pStyle w:val="Heading4"/>
      </w:pPr>
      <w:r>
        <w:t xml:space="preserve">4.3.3 Category 11: Use of Sold Products</w:t>
      </w:r>
    </w:p>
    <w:p>
      <w:pPr>
        <w:pStyle w:val="FirstParagraph"/>
      </w:pPr>
      <w:r>
        <w:t xml:space="preserve">Emissions from the product\'s use phase are calculated based on:</w:t>
      </w:r>
    </w:p>
    <w:p>
      <w:pPr>
        <w:numPr>
          <w:ilvl w:val="0"/>
          <w:numId w:val="1009"/>
        </w:numPr>
        <w:pStyle w:val="Compact"/>
      </w:pPr>
      <w:r>
        <w:rPr>
          <w:bCs/>
          <w:b/>
        </w:rPr>
        <w:t xml:space="preserve">Product Lifespan:</w:t>
      </w:r>
      <w:r>
        <w:t xml:space="preserve"> </w:t>
      </w:r>
      <w:r>
        <w:t xml:space="preserve">`ttvwnlnqmq` (e.g., 5 years)</w:t>
      </w:r>
    </w:p>
    <w:p>
      <w:pPr>
        <w:numPr>
          <w:ilvl w:val="0"/>
          <w:numId w:val="1009"/>
        </w:numPr>
        <w:pStyle w:val="Compact"/>
      </w:pPr>
      <w:r>
        <w:rPr>
          <w:bCs/>
          <w:b/>
        </w:rPr>
        <w:t xml:space="preserve">Energy Consumption in Use:</w:t>
      </w:r>
      <w:r>
        <w:t xml:space="preserve"> </w:t>
      </w:r>
      <w:r>
        <w:t xml:space="preserve">`nnhxuyzwho` (e.g., 20 kWh/year)</w:t>
      </w:r>
    </w:p>
    <w:p>
      <w:pPr>
        <w:pStyle w:val="FirstParagraph"/>
      </w:pPr>
      <w:r>
        <w:t xml:space="preserve">The total energy consumption over the product\'s lifespan is multiplied by the relevant electricity grid emission factor for the typical</w:t>
      </w:r>
      <w:r>
        <w:t xml:space="preserve"> </w:t>
      </w:r>
      <w:r>
        <w:t xml:space="preserve">region of use.</w:t>
      </w:r>
    </w:p>
    <w:bookmarkEnd w:id="40"/>
    <w:bookmarkStart w:id="41" w:name="X9f66eef2700632e081dfe139021cb724ffcd2c5"/>
    <w:p>
      <w:pPr>
        <w:pStyle w:val="Heading4"/>
      </w:pPr>
      <w:r>
        <w:t xml:space="preserve">4.3.4 Category 12: End-of-Life Treatment of Sold Products</w:t>
      </w:r>
    </w:p>
    <w:p>
      <w:pPr>
        <w:pStyle w:val="FirstParagraph"/>
      </w:pPr>
      <w:r>
        <w:t xml:space="preserve">Emissions (or avoided emissions) from the disposal, recycling, or recovery of the product at the end of its life are assessed using:</w:t>
      </w:r>
    </w:p>
    <w:p>
      <w:pPr>
        <w:numPr>
          <w:ilvl w:val="0"/>
          <w:numId w:val="1010"/>
        </w:numPr>
        <w:pStyle w:val="Compact"/>
      </w:pPr>
      <w:r>
        <w:rPr>
          <w:bCs/>
          <w:b/>
        </w:rPr>
        <w:t xml:space="preserve">Recyclability Percentage:</w:t>
      </w:r>
      <w:r>
        <w:t xml:space="preserve"> </w:t>
      </w:r>
      <w:r>
        <w:t xml:space="preserve">`ufqtqstfdp` (e.g., 80%)</w:t>
      </w:r>
    </w:p>
    <w:p>
      <w:pPr>
        <w:numPr>
          <w:ilvl w:val="0"/>
          <w:numId w:val="1010"/>
        </w:numPr>
        <w:pStyle w:val="Compact"/>
      </w:pPr>
      <w:r>
        <w:rPr>
          <w:bCs/>
          <w:b/>
        </w:rPr>
        <w:t xml:space="preserve">Circular/Take-back Programs:</w:t>
      </w:r>
      <w:r>
        <w:t xml:space="preserve"> </w:t>
      </w:r>
      <w:r>
        <w:t xml:space="preserve">`wmxigqjgir` (e.g., Active regional take-back scheme)</w:t>
      </w:r>
    </w:p>
    <w:p>
      <w:pPr>
        <w:pStyle w:val="FirstParagraph"/>
      </w:pPr>
      <w:r>
        <w:t xml:space="preserve">The impact of recycling is often modeled as avoided emissions, while landfill or incineration results in specific emissions.</w:t>
      </w:r>
      <w:r>
        <w:t xml:space="preserve"> </w:t>
      </w:r>
      <w:r>
        <w:t xml:space="preserve">Circular programs can further reduce overall impact.</w:t>
      </w:r>
    </w:p>
    <w:bookmarkEnd w:id="41"/>
    <w:bookmarkEnd w:id="42"/>
    <w:bookmarkStart w:id="43" w:name="Xdc499c436a41758858ffb582e59a29706339e1b"/>
    <w:p>
      <w:pPr>
        <w:pStyle w:val="Heading3"/>
      </w:pPr>
      <w:r>
        <w:t xml:space="preserve">4.4 Application of 2026 LSR Update (Land Sector and Removals Standard)</w:t>
      </w:r>
    </w:p>
    <w:p>
      <w:pPr>
        <w:pStyle w:val="FirstParagraph"/>
      </w:pPr>
      <w:r>
        <w:t xml:space="preserve">In alignment with the 2026 Land Sector and Removals (LSR) Standard, this analysis would account for GHG fluxes from</w:t>
      </w:r>
      <w:r>
        <w:t xml:space="preserve"> </w:t>
      </w:r>
      <w:r>
        <w:t xml:space="preserve">land use and land-use change, as well as carbon removals. For a product-level assessment, this is relevant if</w:t>
      </w:r>
      <w:r>
        <w:t xml:space="preserve"> </w:t>
      </w:r>
      <w:r>
        <w:t xml:space="preserve">raw materials originate from forestry or agricultural activities, or if the product itself leads to land-use change.</w:t>
      </w:r>
      <w:r>
        <w:t xml:space="preserve"> </w:t>
      </w:r>
      <w:r>
        <w:rPr>
          <w:iCs/>
          <w:i/>
        </w:rPr>
        <w:t xml:space="preserve">(Note: Given the placeholder BOM \'drrhtwqr\', specific LSR impacts cannot be calculated without detailed material sourcing data. However, the methodology integrates the requirement to capture such impacts if relevant data becomes available.)</w:t>
      </w:r>
    </w:p>
    <w:p>
      <w:r>
        <w:pict>
          <v:rect style="width:0;height:1.5pt" o:hralign="center" o:hrstd="t" o:hr="t"/>
        </w:pict>
      </w:r>
    </w:p>
    <w:bookmarkEnd w:id="43"/>
    <w:bookmarkEnd w:id="44"/>
    <w:bookmarkStart w:id="48" w:name="review-and-reporting"/>
    <w:p>
      <w:pPr>
        <w:pStyle w:val="Heading2"/>
      </w:pPr>
      <w:r>
        <w:t xml:space="preserve">5. Review and Reporting</w:t>
      </w:r>
    </w:p>
    <w:p>
      <w:pPr>
        <w:pStyle w:val="FirstParagraph"/>
      </w:pPr>
      <w:r>
        <w:t xml:space="preserve">Upon completion of calculations, a thorough review identifies emission hotspots and assesses data reliability.</w:t>
      </w:r>
    </w:p>
    <w:bookmarkStart w:id="45" w:name="emission-hotspots-illustrative"/>
    <w:p>
      <w:pPr>
        <w:pStyle w:val="Heading3"/>
      </w:pPr>
      <w:r>
        <w:t xml:space="preserve">5.1 Emission Hotspots (Illustrative)</w:t>
      </w:r>
    </w:p>
    <w:p>
      <w:pPr>
        <w:pStyle w:val="FirstParagraph"/>
      </w:pPr>
      <w:r>
        <w:t xml:space="preserve">Based on typical PCF profiles for manufactured goods, potential hotspots for egvilhsozg are likely to include:</w:t>
      </w:r>
    </w:p>
    <w:p>
      <w:pPr>
        <w:numPr>
          <w:ilvl w:val="0"/>
          <w:numId w:val="1011"/>
        </w:numPr>
        <w:pStyle w:val="Compact"/>
      </w:pPr>
      <w:r>
        <w:rPr>
          <w:bCs/>
          <w:b/>
        </w:rPr>
        <w:t xml:space="preserve">Material Acquisition:</w:t>
      </w:r>
      <w:r>
        <w:t xml:space="preserve"> </w:t>
      </w:r>
      <w:r>
        <w:t xml:space="preserve">Production of energy-intensive materials like metals and certain plastics (Scope 3, Category 1).</w:t>
      </w:r>
    </w:p>
    <w:p>
      <w:pPr>
        <w:numPr>
          <w:ilvl w:val="0"/>
          <w:numId w:val="1011"/>
        </w:numPr>
        <w:pStyle w:val="Compact"/>
      </w:pPr>
      <w:r>
        <w:rPr>
          <w:bCs/>
          <w:b/>
        </w:rPr>
        <w:t xml:space="preserve">Manufacturing Energy:</w:t>
      </w:r>
      <w:r>
        <w:t xml:space="preserve"> </w:t>
      </w:r>
      <w:r>
        <w:t xml:space="preserve">Electricity consumption during production, especially if renewable energy usage (`wyzszroitg`) is not 100% (Scope 2).</w:t>
      </w:r>
    </w:p>
    <w:p>
      <w:pPr>
        <w:numPr>
          <w:ilvl w:val="0"/>
          <w:numId w:val="1011"/>
        </w:numPr>
        <w:pStyle w:val="Compact"/>
      </w:pPr>
      <w:r>
        <w:rPr>
          <w:bCs/>
          <w:b/>
        </w:rPr>
        <w:t xml:space="preserve">Use Phase:</w:t>
      </w:r>
      <w:r>
        <w:t xml:space="preserve"> </w:t>
      </w:r>
      <w:r>
        <w:t xml:space="preserve">Energy consumption during the product\'s lifespan (`ttvwnlnqmq`) particularly for products with high energy requirements (`nnhxuyzwho`) (Scope 3, Category 11).</w:t>
      </w:r>
    </w:p>
    <w:p>
      <w:pPr>
        <w:numPr>
          <w:ilvl w:val="0"/>
          <w:numId w:val="1011"/>
        </w:numPr>
        <w:pStyle w:val="Compact"/>
      </w:pPr>
      <w:r>
        <w:rPr>
          <w:bCs/>
          <w:b/>
        </w:rPr>
        <w:t xml:space="preserve">Long-Distance Transport:</w:t>
      </w:r>
      <w:r>
        <w:t xml:space="preserve"> </w:t>
      </w:r>
      <w:r>
        <w:t xml:space="preserve">Emissions from international shipping or extensive road transport (`gwxfkqmsku`, `Select Mode`) (Scope 3, Categories 4 &amp; 9).</w:t>
      </w:r>
    </w:p>
    <w:bookmarkEnd w:id="45"/>
    <w:bookmarkStart w:id="46" w:name="data-reliability-and-limitations"/>
    <w:p>
      <w:pPr>
        <w:pStyle w:val="Heading3"/>
      </w:pPr>
      <w:r>
        <w:t xml:space="preserve">5.2 Data Reliability and Limitations</w:t>
      </w:r>
    </w:p>
    <w:p>
      <w:pPr>
        <w:pStyle w:val="FirstParagraph"/>
      </w:pPr>
      <w:r>
        <w:t xml:space="preserve">The reliability of this PCF relies heavily on the accuracy and completeness of the provided input data (`drrhtwqr`, `gwxfkqmsku`, etc.).</w:t>
      </w:r>
      <w:r>
        <w:t xml:space="preserve"> </w:t>
      </w:r>
      <w:r>
        <w:t xml:space="preserve">Where primary data was unavailable, high-quality secondary data from recognized databases (e.g., Ecoinvent, DEFRA) and</w:t>
      </w:r>
      <w:r>
        <w:t xml:space="preserve"> </w:t>
      </w:r>
      <w:r>
        <w:t xml:space="preserve">industry averages were considered. Limitations include the general assumptions made for placeholder data, which would be</w:t>
      </w:r>
      <w:r>
        <w:t xml:space="preserve"> </w:t>
      </w:r>
      <w:r>
        <w:t xml:space="preserve">superseded by specific, verified client data for a definitive assessment.</w:t>
      </w:r>
    </w:p>
    <w:bookmarkEnd w:id="46"/>
    <w:bookmarkStart w:id="47" w:name="overall-pcf-summary-illustrative"/>
    <w:p>
      <w:pPr>
        <w:pStyle w:val="Heading3"/>
      </w:pPr>
      <w:r>
        <w:t xml:space="preserve">5.3 Overall PCF Summary (Illustrative)</w:t>
      </w:r>
    </w:p>
    <w:p>
      <w:pPr>
        <w:pStyle w:val="FirstParagraph"/>
      </w:pPr>
      <w:r>
        <w:t xml:space="preserve">An illustrative breakdown of egvilhsozg\'s Product Carbon Footprint might look like the following: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 of Total PCF</w:t>
            </w:r>
          </w:p>
        </w:tc>
        <w:tc>
          <w:tcPr/>
          <w:p>
            <w:pPr>
              <w:pStyle w:val="Compact"/>
              <w:jc w:val="left"/>
            </w:pPr>
            <w:r>
              <w:t xml:space="preserve">Illustrative Emissions (kgCO2e per unit)</w:t>
            </w:r>
          </w:p>
        </w:tc>
      </w:tr>
      <w:tr>
        <w:tc>
          <w:tcPr/>
          <w:p>
            <w:pPr>
              <w:pStyle w:val="Compact"/>
              <w:jc w:val="left"/>
            </w:pPr>
            <w:r>
              <w:t xml:space="preserve">Materials &amp; Pre-processing</w:t>
            </w:r>
          </w:p>
        </w:tc>
        <w:tc>
          <w:tcPr/>
          <w:p>
            <w:pPr>
              <w:pStyle w:val="Compact"/>
              <w:jc w:val="left"/>
            </w:pPr>
            <w:r>
              <w:t xml:space="preserve">Scope 3 (Cat. 1)</w:t>
            </w:r>
          </w:p>
        </w:tc>
        <w:tc>
          <w:tcPr/>
          <w:p>
            <w:pPr>
              <w:pStyle w:val="Compact"/>
              <w:jc w:val="left"/>
            </w:pPr>
            <w:r>
              <w:t xml:space="preserve">40%</w:t>
            </w:r>
          </w:p>
        </w:tc>
        <w:tc>
          <w:tcPr/>
          <w:p>
            <w:pPr>
              <w:pStyle w:val="Compact"/>
              <w:jc w:val="left"/>
            </w:pPr>
            <w:r>
              <w:t xml:space="preserve">120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20%</w:t>
            </w:r>
          </w:p>
        </w:tc>
        <w:tc>
          <w:tcPr/>
          <w:p>
            <w:pPr>
              <w:pStyle w:val="Compact"/>
              <w:jc w:val="left"/>
            </w:pPr>
            <w:r>
              <w:t xml:space="preserve">60</w:t>
            </w:r>
          </w:p>
        </w:tc>
      </w:tr>
      <w:tr>
        <w:tc>
          <w:tcPr/>
          <w:p>
            <w:pPr>
              <w:pStyle w:val="Compact"/>
              <w:jc w:val="left"/>
            </w:pPr>
            <w:r>
              <w:t xml:space="preserve">Manufacturing (Direct Ops)</w:t>
            </w:r>
          </w:p>
        </w:tc>
        <w:tc>
          <w:tcPr/>
          <w:p>
            <w:pPr>
              <w:pStyle w:val="Compact"/>
              <w:jc w:val="left"/>
            </w:pPr>
            <w:r>
              <w:t xml:space="preserve">Scope 1</w:t>
            </w:r>
          </w:p>
        </w:tc>
        <w:tc>
          <w:tcPr/>
          <w:p>
            <w:pPr>
              <w:pStyle w:val="Compact"/>
              <w:jc w:val="left"/>
            </w:pPr>
            <w:r>
              <w:t xml:space="preserve">5%</w:t>
            </w:r>
          </w:p>
        </w:tc>
        <w:tc>
          <w:tcPr/>
          <w:p>
            <w:pPr>
              <w:pStyle w:val="Compact"/>
              <w:jc w:val="left"/>
            </w:pPr>
            <w:r>
              <w:t xml:space="preserve">15</w:t>
            </w:r>
          </w:p>
        </w:tc>
      </w:tr>
      <w:tr>
        <w:tc>
          <w:tcPr/>
          <w:p>
            <w:pPr>
              <w:pStyle w:val="Compact"/>
              <w:jc w:val="left"/>
            </w:pPr>
            <w:r>
              <w:t xml:space="preserve">Transport (Upstream &amp; Downstream)</w:t>
            </w:r>
          </w:p>
        </w:tc>
        <w:tc>
          <w:tcPr/>
          <w:p>
            <w:pPr>
              <w:pStyle w:val="Compact"/>
              <w:jc w:val="left"/>
            </w:pPr>
            <w:r>
              <w:t xml:space="preserve">Scope 3 (Cat. 4 &amp; 9)</w:t>
            </w:r>
          </w:p>
        </w:tc>
        <w:tc>
          <w:tcPr/>
          <w:p>
            <w:pPr>
              <w:pStyle w:val="Compact"/>
              <w:jc w:val="left"/>
            </w:pPr>
            <w:r>
              <w:t xml:space="preserve">15%</w:t>
            </w:r>
          </w:p>
        </w:tc>
        <w:tc>
          <w:tcPr/>
          <w:p>
            <w:pPr>
              <w:pStyle w:val="Compact"/>
              <w:jc w:val="left"/>
            </w:pPr>
            <w:r>
              <w:t xml:space="preserve">45</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15%</w:t>
            </w:r>
          </w:p>
        </w:tc>
        <w:tc>
          <w:tcPr/>
          <w:p>
            <w:pPr>
              <w:pStyle w:val="Compact"/>
              <w:jc w:val="left"/>
            </w:pPr>
            <w:r>
              <w:t xml:space="preserve">45</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5%</w:t>
            </w:r>
          </w:p>
        </w:tc>
        <w:tc>
          <w:tcPr/>
          <w:p>
            <w:pPr>
              <w:pStyle w:val="Compact"/>
              <w:jc w:val="left"/>
            </w:pPr>
            <w:r>
              <w:t xml:space="preserve">15</w:t>
            </w:r>
          </w:p>
        </w:tc>
      </w:tr>
      <w:tr>
        <w:tc>
          <w:tcPr>
            <w:gridSpan w:val="3"/>
          </w:tcPr>
          <w:p>
            <w:pPr>
              <w:pStyle w:val="Compact"/>
              <w:jc w:val="right"/>
            </w:pPr>
            <w:r>
              <w:rPr>
                <w:bCs/>
                <w:b/>
              </w:rPr>
              <w:t xml:space="preserve">Total Product Carbon Footprint (Illustrative):</w:t>
            </w:r>
          </w:p>
        </w:tc>
        <w:tc>
          <w:tcPr/>
          <w:p>
            <w:pPr>
              <w:pStyle w:val="Compact"/>
              <w:jc w:val="left"/>
            </w:pPr>
            <w:r>
              <w:rPr>
                <w:bCs/>
                <w:b/>
              </w:rPr>
              <w:t xml:space="preserve">300 kgCO2e/unit</w:t>
            </w:r>
          </w:p>
        </w:tc>
      </w:tr>
    </w:tbl>
    <w:p>
      <w:pPr>
        <w:pStyle w:val="BodyText"/>
      </w:pPr>
      <w:r>
        <w:rPr>
          <w:iCs/>
          <w:i/>
        </w:rPr>
        <w:t xml:space="preserve">(Note: These percentages and values are illustrative. Actual results would be derived from the specific numerical data for `drrhtwqr`, `gwxfkqmsku`, `wyzszroitg`, `zoxwzsyytd`, `ttvwnlnqmq`, `nnhxuyzwho`, `ufqtqstfdp`, and `wmxigqjgir`.)</w:t>
      </w:r>
    </w:p>
    <w:p>
      <w:r>
        <w:pict>
          <v:rect style="width:0;height:1.5pt" o:hralign="center" o:hrstd="t" o:hr="t"/>
        </w:pict>
      </w:r>
    </w:p>
    <w:bookmarkEnd w:id="47"/>
    <w:bookmarkEnd w:id="48"/>
    <w:p>
      <w:pPr>
        <w:pStyle w:val="FirstParagraph"/>
      </w:pPr>
      <w:r>
        <w:t xml:space="preserve">Confidential - Internal Use Only | Page X of Y (Illustrative)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egvilhsozg</dc:title>
  <dc:creator/>
  <dc:description>Detailed Product Carbon Footprint (PCF) analysis report for product egvilhsozg, conducted under GHG Protocol standards by Senior Sustainability Consultant mojgwehryu for zuokdjrwkv.</dc:description>
  <cp:keywords/>
  <dcterms:created xsi:type="dcterms:W3CDTF">2026-05-30T16:58:39Z</dcterms:created>
  <dcterms:modified xsi:type="dcterms:W3CDTF">2026-05-30T16:58:39Z</dcterms:modified>
</cp:coreProperties>
</file>

<file path=docProps/custom.xml><?xml version="1.0" encoding="utf-8"?>
<Properties xmlns="http://schemas.openxmlformats.org/officeDocument/2006/custom-properties" xmlns:vt="http://schemas.openxmlformats.org/officeDocument/2006/docPropsVTypes"/>
</file>