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eepffjlxlv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eepffjlxlv</w:t>
      </w:r>
    </w:p>
    <w:p>
      <w:pPr>
        <w:pStyle w:val="BodyText"/>
      </w:pPr>
      <w:r>
        <w:rPr>
          <w:bCs/>
          <w:b/>
        </w:rPr>
        <w:t xml:space="preserve">Company Name:</w:t>
      </w:r>
      <w:r>
        <w:t xml:space="preserve"> </w:t>
      </w:r>
      <w:r>
        <w:t xml:space="preserve">yjusrfdxmj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drnqiwdrwq</w:t>
      </w:r>
    </w:p>
    <w:p>
      <w:pPr>
        <w:pStyle w:val="BodyText"/>
      </w:pPr>
      <w:r>
        <w:t xml:space="preserve">Disclaimer: This report is generated based on available data and industry standards, providing a high-detail Product Carbon Footprint (PCF) analysis. Specific values for parameters such as Bill of Materials (BOM), transport, energy, and end-of-life scenarios are illustrative, derived from the provided placeholders, and would require exact primary data for a definitive assessment.</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eepffjlxlv</w:t>
      </w:r>
    </w:p>
    <w:p>
      <w:pPr>
        <w:pStyle w:val="BodyText"/>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eepffjlxlv, manufactured by yjusrfdxmj. As Senior Sustainability Consultant drnqiwdrwq, this assessment adheres to the Greenhouse Gas (GHG) Protocol and incorporates key updates from the 2026 Land Sector and Removals (LSR) Standard. The analysis covers a cradle-to-gate system boundary, extended to include use-phase and end-of-life scenarios, with a primary focus on emissions categorized into Scope 1, Scope 2, and Scope 3 as per GHG Protocol requirements. Our aim is to identify major emission hotspots across the product\'s lifecycle, providing yjusrfdxmj with actionable insights for sustainability improvements.</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eepffjlxlv</w:t>
      </w:r>
      <w:r>
        <w:t xml:space="preserve">, serving its intended purpose for its specified lifespan.</w:t>
      </w:r>
    </w:p>
    <w:bookmarkEnd w:id="23"/>
    <w:bookmarkStart w:id="24" w:name="system-boundary"/>
    <w:p>
      <w:pPr>
        <w:pStyle w:val="Heading3"/>
      </w:pPr>
      <w:r>
        <w:t xml:space="preserve">1.2 System Boundary</w:t>
      </w:r>
    </w:p>
    <w:p>
      <w:pPr>
        <w:pStyle w:val="FirstParagraph"/>
      </w:pPr>
      <w:r>
        <w:t xml:space="preserve">The primary system boundary for this analysis is</w:t>
      </w:r>
      <w:r>
        <w:t xml:space="preserve"> </w:t>
      </w:r>
      <w:r>
        <w:rPr>
          <w:bCs/>
          <w:b/>
        </w:rPr>
        <w:t xml:space="preserve">"factory_gate"</w:t>
      </w:r>
      <w:r>
        <w:t xml:space="preserve">, encompassing all processes from the extraction and processing of raw materials (cradle) up to the point the finished product leaves the manufacturing facility. Additionally, as per the project parameters, the analysis extends to include the</w:t>
      </w:r>
      <w:r>
        <w:t xml:space="preserve"> </w:t>
      </w:r>
      <w:r>
        <w:rPr>
          <w:bCs/>
          <w:b/>
        </w:rPr>
        <w:t xml:space="preserve">use phase</w:t>
      </w:r>
      <w:r>
        <w:t xml:space="preserve"> </w:t>
      </w:r>
      <w:r>
        <w:t xml:space="preserve">and</w:t>
      </w:r>
      <w:r>
        <w:t xml:space="preserve"> </w:t>
      </w:r>
      <w:r>
        <w:rPr>
          <w:bCs/>
          <w:b/>
        </w:rPr>
        <w:t xml:space="preserve">end-of-life (EoL)</w:t>
      </w:r>
      <w:r>
        <w:t xml:space="preserve"> </w:t>
      </w:r>
      <w:r>
        <w:t xml:space="preserve">stages of the product. This comprehensive approach provides a more holistic view of the product\'s environmental impact across its entire lifecycle.</w:t>
      </w:r>
    </w:p>
    <w:p>
      <w:pPr>
        <w:pStyle w:val="BodyText"/>
      </w:pPr>
      <w:r>
        <w:t xml:space="preserve">The included lifecycle stages are:</w:t>
      </w:r>
    </w:p>
    <w:p>
      <w:pPr>
        <w:numPr>
          <w:ilvl w:val="0"/>
          <w:numId w:val="1001"/>
        </w:numPr>
        <w:pStyle w:val="Compact"/>
      </w:pPr>
      <w:r>
        <w:t xml:space="preserve">Raw Material Acquisition &amp; Pre-processing</w:t>
      </w:r>
    </w:p>
    <w:p>
      <w:pPr>
        <w:numPr>
          <w:ilvl w:val="0"/>
          <w:numId w:val="1001"/>
        </w:numPr>
        <w:pStyle w:val="Compact"/>
      </w:pPr>
      <w:r>
        <w:t xml:space="preserve">Manufacturing &amp; Production</w:t>
      </w:r>
    </w:p>
    <w:p>
      <w:pPr>
        <w:numPr>
          <w:ilvl w:val="0"/>
          <w:numId w:val="1001"/>
        </w:numPr>
        <w:pStyle w:val="Compact"/>
      </w:pPr>
      <w:r>
        <w:t xml:space="preserve">Upstream and Downstream Transportation (including Last-Mile Delivery)</w:t>
      </w:r>
    </w:p>
    <w:p>
      <w:pPr>
        <w:numPr>
          <w:ilvl w:val="0"/>
          <w:numId w:val="1001"/>
        </w:numPr>
        <w:pStyle w:val="Compact"/>
      </w:pPr>
      <w:r>
        <w:t xml:space="preserve">Product Use Phase</w:t>
      </w:r>
    </w:p>
    <w:p>
      <w:pPr>
        <w:numPr>
          <w:ilvl w:val="0"/>
          <w:numId w:val="1001"/>
        </w:numPr>
        <w:pStyle w:val="Compact"/>
      </w:pPr>
      <w:r>
        <w:t xml:space="preserve">End-of-Life Treatment</w:t>
      </w:r>
    </w:p>
    <w:bookmarkEnd w:id="24"/>
    <w:bookmarkStart w:id="25" w:name="geographic-scope"/>
    <w:p>
      <w:pPr>
        <w:pStyle w:val="Heading3"/>
      </w:pPr>
      <w:r>
        <w:t xml:space="preserve">1.3 Geographic Scope</w:t>
      </w:r>
    </w:p>
    <w:p>
      <w:pPr>
        <w:pStyle w:val="FirstParagraph"/>
      </w:pPr>
      <w:r>
        <w:t xml:space="preserve">The geographic scope for the final production country is</w:t>
      </w:r>
      <w:r>
        <w:t xml:space="preserve"> </w:t>
      </w:r>
      <w:r>
        <w:rPr>
          <w:bCs/>
          <w:b/>
        </w:rPr>
        <w:t xml:space="preserve">China</w:t>
      </w:r>
      <w:r>
        <w:t xml:space="preserve">. The supply chain focus for upstream materials and components is primarily</w:t>
      </w:r>
      <w:r>
        <w:t xml:space="preserve"> </w:t>
      </w:r>
      <w:r>
        <w:rPr>
          <w:bCs/>
          <w:b/>
        </w:rPr>
        <w:t xml:space="preserve">Europe Focused</w:t>
      </w:r>
      <w:r>
        <w:t xml:space="preserve">, indicating that emission factors and logistics considerations for raw material acquisition are biased towards European sourcing where relevant. Downstream transportation will consider global distribution from China.</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specifically the Product Standard. Emissions are categorized into Scope 1 (direct emissions from owned or controlled sources), Scope 2 (indirect emissions from the generation of purchased energy), and Scope 3 (all other indirect emissions that occur in the value chain). This report also acknowledges and integrates principles from the 2026 Land Sector and Removals (LSR) Standard for land use and carbon removals, where applicable to material sourcing and processing.</w:t>
      </w:r>
    </w:p>
    <w:p>
      <w:r>
        <w:pict>
          <v:rect style="width:0;height:1.5pt" o:hralign="center" o:hrstd="t" o:hr="t"/>
        </w:pict>
      </w:r>
    </w:p>
    <w:bookmarkEnd w:id="26"/>
    <w:bookmarkEnd w:id="27"/>
    <w:bookmarkStart w:id="33" w:name="lifecycle-mapping-data-collection"/>
    <w:p>
      <w:pPr>
        <w:pStyle w:val="Heading2"/>
      </w:pPr>
      <w:r>
        <w:t xml:space="preserve">2. &amp; 3. Lifecycle Mapping &amp; Data Collection</w:t>
      </w:r>
    </w:p>
    <w:p>
      <w:pPr>
        <w:pStyle w:val="FirstParagraph"/>
      </w:pPr>
      <w:r>
        <w:t xml:space="preserve">This section details the inventory stages and the data collected, or in this case, illustrative data used based on the provided parameters. Due to the placeholder nature of some input parameters (e.g., mlpnenry for BOM, rfxngjdqhp for distance), specific values are simulated to demonstrate the calculation methodology.</w:t>
      </w:r>
    </w:p>
    <w:bookmarkStart w:id="28" w:name="X982c326fb93613d4d5b2ea0769a7e370cfc78fa"/>
    <w:p>
      <w:pPr>
        <w:pStyle w:val="Heading3"/>
      </w:pPr>
      <w:r>
        <w:t xml:space="preserve">2.1 Detailed Bill of Materials (BOM) &amp; Material Inputs</w:t>
      </w:r>
    </w:p>
    <w:p>
      <w:pPr>
        <w:pStyle w:val="FirstParagraph"/>
      </w:pPr>
      <w:r>
        <w:t xml:space="preserve">The product eepffjlxlv\'s material composition is a critical factor in its overall carbon footprint. The analysis uses a simulated Bill of Materials (BOM) based on the specified format: ID, Description, Category, Process, Qty, Unit, Emission Factor (kg CO2e/unit), Total Carbon. These emission factors represent the cradle-to-gate impact of the material itself.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 (Recycled Content)</w:t>
            </w:r>
          </w:p>
        </w:tc>
        <w:tc>
          <w:tcPr/>
          <w:p>
            <w:pPr>
              <w:pStyle w:val="Compact"/>
              <w:jc w:val="left"/>
            </w:pPr>
            <w:r>
              <w:t xml:space="preserve">Metals</w:t>
            </w:r>
          </w:p>
        </w:tc>
        <w:tc>
          <w:tcPr/>
          <w:p>
            <w:pPr>
              <w:pStyle w:val="Compact"/>
              <w:jc w:val="left"/>
            </w:pPr>
            <w:r>
              <w:t xml:space="preserve">Primary production, 50% recycled</w:t>
            </w:r>
          </w:p>
        </w:tc>
        <w:tc>
          <w:tcPr/>
          <w:p>
            <w:pPr>
              <w:pStyle w:val="Compact"/>
              <w:jc w:val="left"/>
            </w:pPr>
            <w:r>
              <w:t xml:space="preserve">0.5</w:t>
            </w:r>
          </w:p>
        </w:tc>
        <w:tc>
          <w:tcPr/>
          <w:p>
            <w:pPr>
              <w:pStyle w:val="Compact"/>
              <w:jc w:val="left"/>
            </w:pPr>
            <w:r>
              <w:t xml:space="preserve">kg</w:t>
            </w:r>
          </w:p>
        </w:tc>
        <w:tc>
          <w:tcPr/>
          <w:p>
            <w:pPr>
              <w:pStyle w:val="Compact"/>
              <w:jc w:val="left"/>
            </w:pPr>
            <w:r>
              <w:t xml:space="preserve">5.5</w:t>
            </w:r>
          </w:p>
        </w:tc>
        <w:tc>
          <w:tcPr/>
          <w:p>
            <w:pPr>
              <w:pStyle w:val="Compact"/>
              <w:jc w:val="left"/>
            </w:pPr>
            <w:r>
              <w:t xml:space="preserve">2.75</w:t>
            </w:r>
          </w:p>
        </w:tc>
      </w:tr>
      <w:tr>
        <w:tc>
          <w:tcPr/>
          <w:p>
            <w:pPr>
              <w:pStyle w:val="Compact"/>
              <w:jc w:val="left"/>
            </w:pPr>
            <w:r>
              <w:t xml:space="preserve">MAT002</w:t>
            </w:r>
          </w:p>
        </w:tc>
        <w:tc>
          <w:tcPr/>
          <w:p>
            <w:pPr>
              <w:pStyle w:val="Compact"/>
              <w:jc w:val="left"/>
            </w:pPr>
            <w:r>
              <w:t xml:space="preserve">ABS Plastic (Virgin)</w:t>
            </w:r>
          </w:p>
        </w:tc>
        <w:tc>
          <w:tcPr/>
          <w:p>
            <w:pPr>
              <w:pStyle w:val="Compact"/>
              <w:jc w:val="left"/>
            </w:pPr>
            <w:r>
              <w:t xml:space="preserve">Plastics</w:t>
            </w:r>
          </w:p>
        </w:tc>
        <w:tc>
          <w:tcPr/>
          <w:p>
            <w:pPr>
              <w:pStyle w:val="Compact"/>
              <w:jc w:val="left"/>
            </w:pPr>
            <w:r>
              <w:t xml:space="preserve">Polymerization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MAT003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120.0</w:t>
            </w:r>
          </w:p>
        </w:tc>
        <w:tc>
          <w:tcPr/>
          <w:p>
            <w:pPr>
              <w:pStyle w:val="Compact"/>
              <w:jc w:val="left"/>
            </w:pPr>
            <w:r>
              <w:t xml:space="preserve">6.00</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Refining and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MAT005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Paper production, recycled</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r>
        <w:tc>
          <w:tcPr>
            <w:gridSpan w:val="7"/>
          </w:tcPr>
          <w:p>
            <w:pPr>
              <w:pStyle w:val="Compact"/>
              <w:jc w:val="left"/>
            </w:pPr>
            <w:r>
              <w:t xml:space="preserve">Total Material Carbon Footprint</w:t>
            </w:r>
          </w:p>
        </w:tc>
        <w:tc>
          <w:tcPr/>
          <w:p>
            <w:pPr>
              <w:pStyle w:val="Compact"/>
              <w:jc w:val="left"/>
            </w:pPr>
            <w:r>
              <w:t xml:space="preserve">10.25</w:t>
            </w:r>
          </w:p>
        </w:tc>
      </w:tr>
    </w:tbl>
    <w:p>
      <w:pPr>
        <w:pStyle w:val="BodyText"/>
      </w:pPr>
      <w:r>
        <w:rPr>
          <w:iCs/>
          <w:i/>
        </w:rPr>
        <w:t xml:space="preserve">Note: The "Emission Factor (kg CO2e/unit)" in the BOM table refers to the emission factor per unit of the material itself (e.g., per kg of aluminum), and "Total Carbon (kg CO2e)" is calculated as Qty * Emission Factor for each material. These are considered Scope 3, Category 1 emissions (Purchased Goods and Services).</w:t>
      </w:r>
    </w:p>
    <w:bookmarkEnd w:id="28"/>
    <w:bookmarkStart w:id="29" w:name="energy-inputs-in-production"/>
    <w:p>
      <w:pPr>
        <w:pStyle w:val="Heading3"/>
      </w:pPr>
      <w:r>
        <w:t xml:space="preserve">2.2 Energy Inputs in Production</w:t>
      </w:r>
    </w:p>
    <w:p>
      <w:pPr>
        <w:pStyle w:val="FirstParagraph"/>
      </w:pPr>
      <w:r>
        <w:t xml:space="preserve">The production phase energy consumption is derived from the provided parameters:</w:t>
      </w:r>
    </w:p>
    <w:p>
      <w:pPr>
        <w:numPr>
          <w:ilvl w:val="0"/>
          <w:numId w:val="1002"/>
        </w:numPr>
        <w:pStyle w:val="Compact"/>
      </w:pPr>
      <w:r>
        <w:t xml:space="preserve">Energy Intensity (kWh/unit):</w:t>
      </w:r>
      <w:r>
        <w:t xml:space="preserve"> </w:t>
      </w:r>
      <w:r>
        <w:rPr>
          <w:bCs/>
          <w:b/>
        </w:rPr>
        <w:t xml:space="preserve">swdkpgwiqn (simulated as 15 kWh/unit)</w:t>
      </w:r>
    </w:p>
    <w:p>
      <w:pPr>
        <w:numPr>
          <w:ilvl w:val="0"/>
          <w:numId w:val="1002"/>
        </w:numPr>
        <w:pStyle w:val="Compact"/>
      </w:pPr>
      <w:r>
        <w:t xml:space="preserve">Renewable Energy Usage:</w:t>
      </w:r>
      <w:r>
        <w:t xml:space="preserve"> </w:t>
      </w:r>
      <w:r>
        <w:rPr>
          <w:bCs/>
          <w:b/>
        </w:rPr>
        <w:t xml:space="preserve">npsklqppsk (simulated as 60%)</w:t>
      </w:r>
    </w:p>
    <w:p>
      <w:pPr>
        <w:numPr>
          <w:ilvl w:val="0"/>
          <w:numId w:val="1002"/>
        </w:numPr>
        <w:pStyle w:val="Compact"/>
      </w:pPr>
      <w:r>
        <w:t xml:space="preserve">Final Production Country: China</w:t>
      </w:r>
    </w:p>
    <w:p>
      <w:pPr>
        <w:pStyle w:val="FirstParagraph"/>
      </w:pPr>
      <w:r>
        <w:t xml:space="preserve">For calculations, an average grid emission factor for China is assumed. Provincial grid carbon footprint factors in China exhibited a general downward trajectory between 2020 and 2022, with some provinces reporting values exceeding 1.0 kg CO2e kWh-1 in 2020, declining by 2022. For instance, Hebei\'s figure reduced by 24.62% but remained among the highest nationally. The predicted carbon emission factors for China\'s electric power in 2025 and 2030 are 0.6144 tCO2e/MWh and 0.5154 tCO2e/MWh respectively. The national average electricity carbon footprint factor was 0.6205 kgCO2e/kWh in 2023. Therefore, a conservative average grid emission factor for China of 0.65 kg CO2e/kWh is used. The renewable energy usage directly reduces the portion of electricity drawn from the grid.</w:t>
      </w:r>
    </w:p>
    <w:bookmarkEnd w:id="29"/>
    <w:bookmarkStart w:id="30" w:name="transportation-logistics"/>
    <w:p>
      <w:pPr>
        <w:pStyle w:val="Heading3"/>
      </w:pPr>
      <w:r>
        <w:t xml:space="preserve">2.3 Transportation Logistics</w:t>
      </w:r>
    </w:p>
    <w:p>
      <w:pPr>
        <w:pStyle w:val="FirstParagraph"/>
      </w:pPr>
      <w:r>
        <w:t xml:space="preserve">Transportation impacts are integrated for both upstream (inbound materials) and downstream (product distribution) movements.</w:t>
      </w:r>
    </w:p>
    <w:p>
      <w:pPr>
        <w:numPr>
          <w:ilvl w:val="0"/>
          <w:numId w:val="1003"/>
        </w:numPr>
        <w:pStyle w:val="Compact"/>
      </w:pPr>
      <w:r>
        <w:t xml:space="preserve">Transport Mode:</w:t>
      </w:r>
      <w:r>
        <w:t xml:space="preserve"> </w:t>
      </w:r>
      <w:r>
        <w:rPr>
          <w:bCs/>
          <w:b/>
        </w:rPr>
        <w:t xml:space="preserve">Select Mode (simulated as Road (Heavy Goods Vehicle &gt; 32t))</w:t>
      </w:r>
    </w:p>
    <w:p>
      <w:pPr>
        <w:numPr>
          <w:ilvl w:val="0"/>
          <w:numId w:val="1003"/>
        </w:numPr>
        <w:pStyle w:val="Compact"/>
      </w:pPr>
      <w:r>
        <w:t xml:space="preserve">Transport Distance:</w:t>
      </w:r>
      <w:r>
        <w:t xml:space="preserve"> </w:t>
      </w:r>
      <w:r>
        <w:rPr>
          <w:bCs/>
          <w:b/>
        </w:rPr>
        <w:t xml:space="preserve">rfxngjdqhp (simulated as 1500 km)</w:t>
      </w:r>
      <w:r>
        <w:t xml:space="preserve"> </w:t>
      </w:r>
      <w:r>
        <w:t xml:space="preserve">for main outbound transport.</w:t>
      </w:r>
    </w:p>
    <w:p>
      <w:pPr>
        <w:numPr>
          <w:ilvl w:val="0"/>
          <w:numId w:val="1003"/>
        </w:numPr>
        <w:pStyle w:val="Compact"/>
      </w:pPr>
      <w:r>
        <w:t xml:space="preserve">Last-Mile Delivery Channel:</w:t>
      </w:r>
      <w:r>
        <w:t xml:space="preserve"> </w:t>
      </w:r>
      <w:r>
        <w:rPr>
          <w:bCs/>
          <w:b/>
        </w:rPr>
        <w:t xml:space="preserve">Delivery Type (simulated as Parcel Service Van)</w:t>
      </w:r>
    </w:p>
    <w:p>
      <w:pPr>
        <w:pStyle w:val="FirstParagraph"/>
      </w:pPr>
      <w:r>
        <w:t xml:space="preserve">For inbound materials (Europe Focused), an average distance of 1,000 km is assumed for road transport. A typical emission factor for heavy goods vehicles is 0.1 kg CO2e/tkm. The European Automobile Manufacturers’ Association (ACEA) analysis showed that 95% of heavy-duty vehicles (4x2 tractors, GCW &gt;16t) in Europe have CO2-emission values between 52 g/tkm and 64 g/tkm, with an average of 56.5 g/tkm. For last-mile delivery, an emission factor for a parcel service van (e.g., 0.249 kg CO2e/km for an average van) is used, assuming an average last-mile distance of 50 km per unit and an assumed load factor.</w:t>
      </w:r>
    </w:p>
    <w:bookmarkEnd w:id="30"/>
    <w:bookmarkStart w:id="31" w:name="product-use-phase"/>
    <w:p>
      <w:pPr>
        <w:pStyle w:val="Heading3"/>
      </w:pPr>
      <w:r>
        <w:t xml:space="preserve">2.4 Product Use Phase</w:t>
      </w:r>
    </w:p>
    <w:p>
      <w:pPr>
        <w:pStyle w:val="FirstParagraph"/>
      </w:pPr>
      <w:r>
        <w:t xml:space="preserve">The use phase impact is crucial for electronic products or those requiring energy during operation.</w:t>
      </w:r>
    </w:p>
    <w:p>
      <w:pPr>
        <w:numPr>
          <w:ilvl w:val="0"/>
          <w:numId w:val="1004"/>
        </w:numPr>
        <w:pStyle w:val="Compact"/>
      </w:pPr>
      <w:r>
        <w:t xml:space="preserve">Product Lifespan:</w:t>
      </w:r>
      <w:r>
        <w:t xml:space="preserve"> </w:t>
      </w:r>
      <w:r>
        <w:rPr>
          <w:bCs/>
          <w:b/>
        </w:rPr>
        <w:t xml:space="preserve">mmfnofefni (simulated as 5 years)</w:t>
      </w:r>
    </w:p>
    <w:p>
      <w:pPr>
        <w:numPr>
          <w:ilvl w:val="0"/>
          <w:numId w:val="1004"/>
        </w:numPr>
        <w:pStyle w:val="Compact"/>
      </w:pPr>
      <w:r>
        <w:t xml:space="preserve">Energy Consumption in Use:</w:t>
      </w:r>
      <w:r>
        <w:t xml:space="preserve"> </w:t>
      </w:r>
      <w:r>
        <w:rPr>
          <w:bCs/>
          <w:b/>
        </w:rPr>
        <w:t xml:space="preserve">zugkpuviep (simulated as 20 kWh/year)</w:t>
      </w:r>
    </w:p>
    <w:p>
      <w:pPr>
        <w:pStyle w:val="FirstParagraph"/>
      </w:pPr>
      <w:r>
        <w:t xml:space="preserve">An average European grid emission factor for the use phase is assumed, given the "Europe Focused" supply chain parameter and general market. The EU average electricity carbon intensity was 255 gCO2/kWh in 2022, while other studies report values around 0.254-0.293 kgCO2/kWhel for EU-27 in 2020-2021. We\'ll use 0.25 kg CO2e/kWh (source: industry average/secondary data for EU grid).</w:t>
      </w:r>
    </w:p>
    <w:bookmarkEnd w:id="31"/>
    <w:bookmarkStart w:id="32" w:name="end-of-life-eol-scenarios"/>
    <w:p>
      <w:pPr>
        <w:pStyle w:val="Heading3"/>
      </w:pPr>
      <w:r>
        <w:t xml:space="preserve">2.5 End-of-Life (EoL) Scenarios</w:t>
      </w:r>
    </w:p>
    <w:p>
      <w:pPr>
        <w:pStyle w:val="FirstParagraph"/>
      </w:pPr>
      <w:r>
        <w:t xml:space="preserve">The end-of-life treatment considers the product\'s recyclability and circular economy initiatives.</w:t>
      </w:r>
    </w:p>
    <w:p>
      <w:pPr>
        <w:numPr>
          <w:ilvl w:val="0"/>
          <w:numId w:val="1005"/>
        </w:numPr>
        <w:pStyle w:val="Compact"/>
      </w:pPr>
      <w:r>
        <w:t xml:space="preserve">Recyclability Percentage:</w:t>
      </w:r>
      <w:r>
        <w:t xml:space="preserve"> </w:t>
      </w:r>
      <w:r>
        <w:rPr>
          <w:bCs/>
          <w:b/>
        </w:rPr>
        <w:t xml:space="preserve">mwhyoznfve (simulated as 75%)</w:t>
      </w:r>
    </w:p>
    <w:p>
      <w:pPr>
        <w:numPr>
          <w:ilvl w:val="0"/>
          <w:numId w:val="1005"/>
        </w:numPr>
        <w:pStyle w:val="Compact"/>
      </w:pPr>
      <w:r>
        <w:t xml:space="preserve">Circular/Take-back Programs:</w:t>
      </w:r>
      <w:r>
        <w:t xml:space="preserve"> </w:t>
      </w:r>
      <w:r>
        <w:rPr>
          <w:bCs/>
          <w:b/>
        </w:rPr>
        <w:t xml:space="preserve">fhhmmxxusf (simulated as Yes, established take-back scheme)</w:t>
      </w:r>
    </w:p>
    <w:p>
      <w:pPr>
        <w:pStyle w:val="FirstParagraph"/>
      </w:pPr>
      <w:r>
        <w:t xml:space="preserve">Recycling is assumed to provide a credit (avoided emissions) for the portion of the material recovered, while the remaining portion goes to landfill, incurring an emission burden. Recycling reduces GHG emissions for each of the materials studied, primarily by reducing the energy required to manufacture materials compared to virgin inputs. Landfilling emissions include transport to landfill, equipment use at landfill, and fugitive landfill CH4 emissions. Net GHG emissions associated with landfilling mixed MSW range from about –70 to 30 kg CO2-eq. tonne–1 with energy recovery, or 60 to 300 kg CO2-eq. tonne–1 if carbon binding is not accounted for. Avoided emissions for recycling are estimated based on material-specific factors; for illustrative purposes, an average avoided emission factor for recycling of -1.0 kg CO2e/kg is used, and a landfill emission factor of 0.1 kg CO2e/kg for non-recycled waste.</w:t>
      </w:r>
    </w:p>
    <w:p>
      <w:r>
        <w:pict>
          <v:rect style="width:0;height:1.5pt" o:hralign="center" o:hrstd="t" o:hr="t"/>
        </w:pict>
      </w:r>
    </w:p>
    <w:bookmarkEnd w:id="32"/>
    <w:bookmarkEnd w:id="33"/>
    <w:bookmarkStart w:id="43" w:name="X439a6e6dcb43c636bf515ffaf3f59bce0bd6490"/>
    <w:p>
      <w:pPr>
        <w:pStyle w:val="Heading2"/>
      </w:pPr>
      <w:r>
        <w:t xml:space="preserve">4. Emission Calculation (Activity * Emission Factor = CO2e)</w:t>
      </w:r>
    </w:p>
    <w:p>
      <w:pPr>
        <w:pStyle w:val="FirstParagraph"/>
      </w:pPr>
      <w:r>
        <w:t xml:space="preserve">All calculations are performed to determine the total CO2e emissions per functional unit (1.0 unit of eepffjlxlv), categorized by GHG Protocol scopes.</w:t>
      </w:r>
    </w:p>
    <w:bookmarkStart w:id="34" w:name="scope-1-emissions-direct-emissions"/>
    <w:p>
      <w:pPr>
        <w:pStyle w:val="Heading3"/>
      </w:pPr>
      <w:r>
        <w:t xml:space="preserve">4.1 Scope 1 Emissions (Direct Emissions)</w:t>
      </w:r>
    </w:p>
    <w:p>
      <w:pPr>
        <w:pStyle w:val="FirstParagraph"/>
      </w:pPr>
      <w:r>
        <w:t xml:space="preserve">Given the "factory_gate" system boundary and without specific data on direct fuel combustion from owned/controlled sources at the manufacturing facility (yjusrfdxmj in China), Scope 1 emissions are considered negligible or integrated into Scope 2 for purchased electricity if on-site generation isn\'t significant. For this analysis, direct process emissions from chemical reactions or specific industrial gases are not explicitly quantified due to lack of specific data, and thus assumed to be 0 kg CO2e/unit for the product. In a real-world scenario, these would be directly measured or estimated.</w:t>
      </w:r>
    </w:p>
    <w:p>
      <w:pPr>
        <w:pStyle w:val="BodyText"/>
      </w:pPr>
      <w:r>
        <w:rPr>
          <w:bCs/>
          <w:b/>
        </w:rPr>
        <w:t xml:space="preserve">Total Scope 1 Emissions: 0.00 kg CO2e/unit</w:t>
      </w:r>
    </w:p>
    <w:bookmarkEnd w:id="34"/>
    <w:bookmarkStart w:id="35" w:name="scope-2-emissions-purchased-energy"/>
    <w:p>
      <w:pPr>
        <w:pStyle w:val="Heading3"/>
      </w:pPr>
      <w:r>
        <w:t xml:space="preserve">4.2 Scope 2 Emissions (Purchased Energy)</w:t>
      </w:r>
    </w:p>
    <w:p>
      <w:pPr>
        <w:pStyle w:val="FirstParagraph"/>
      </w:pPr>
      <w:r>
        <w:t xml:space="preserve">These emissions arise from the generation of purchased electricity used in the manufacturing process in China.</w:t>
      </w:r>
    </w:p>
    <w:p>
      <w:pPr>
        <w:numPr>
          <w:ilvl w:val="0"/>
          <w:numId w:val="1006"/>
        </w:numPr>
        <w:pStyle w:val="Compact"/>
      </w:pPr>
      <w:r>
        <w:t xml:space="preserve">Energy Intensity: 15 kWh/unit</w:t>
      </w:r>
    </w:p>
    <w:p>
      <w:pPr>
        <w:numPr>
          <w:ilvl w:val="0"/>
          <w:numId w:val="1006"/>
        </w:numPr>
        <w:pStyle w:val="Compact"/>
      </w:pPr>
      <w:r>
        <w:t xml:space="preserve">Renewable Energy Usage: 60%</w:t>
      </w:r>
    </w:p>
    <w:p>
      <w:pPr>
        <w:numPr>
          <w:ilvl w:val="0"/>
          <w:numId w:val="1006"/>
        </w:numPr>
        <w:pStyle w:val="Compact"/>
      </w:pPr>
      <w:r>
        <w:t xml:space="preserve">Non-renewable electricity used: 15 kWh/unit * (1 - 0.60) = 6 kWh/unit</w:t>
      </w:r>
    </w:p>
    <w:p>
      <w:pPr>
        <w:numPr>
          <w:ilvl w:val="0"/>
          <w:numId w:val="1006"/>
        </w:numPr>
        <w:pStyle w:val="Compact"/>
      </w:pPr>
      <w:r>
        <w:t xml:space="preserve">China Grid Emission Factor (illustrative, based on national average for 2023): 0.65 kg CO2e/kWh</w:t>
      </w:r>
    </w:p>
    <w:p>
      <w:pPr>
        <w:pStyle w:val="FirstParagraph"/>
      </w:pPr>
      <w:r>
        <w:t xml:space="preserve">Calculation: 6 kWh/unit * 0.65 kg CO2e/kWh = 3.90 kg CO2e/unit</w:t>
      </w:r>
    </w:p>
    <w:p>
      <w:pPr>
        <w:pStyle w:val="BodyText"/>
      </w:pPr>
      <w:r>
        <w:rPr>
          <w:bCs/>
          <w:b/>
        </w:rPr>
        <w:t xml:space="preserve">Total Scope 2 Emissions: 3.90 kg CO2e/unit</w:t>
      </w:r>
    </w:p>
    <w:bookmarkEnd w:id="35"/>
    <w:bookmarkStart w:id="41" w:name="scope-3-emissions-value-chain-emissions"/>
    <w:p>
      <w:pPr>
        <w:pStyle w:val="Heading3"/>
      </w:pPr>
      <w:r>
        <w:t xml:space="preserve">4.3 Scope 3 Emissions (Value Chain Emissions)</w:t>
      </w:r>
    </w:p>
    <w:p>
      <w:pPr>
        <w:pStyle w:val="FirstParagraph"/>
      </w:pPr>
      <w:r>
        <w:t xml:space="preserve">Scope 3 emissions constitute the majority of a product\'s carbon footprint and are broken down by relevant categories. The target of at least 95% coverage for Scope 3 reporting (2026 requirements) is addressed by incorporating detailed material, transport, use-phase, and EoL data.</w:t>
      </w:r>
    </w:p>
    <w:bookmarkStart w:id="36" w:name="Xab9729a0caae076ca89f2f71668734f92723cf2"/>
    <w:p>
      <w:pPr>
        <w:pStyle w:val="Heading4"/>
      </w:pPr>
      <w:r>
        <w:t xml:space="preserve">4.3.1 Category 1: Purchased Goods and Services (Materials)</w:t>
      </w:r>
    </w:p>
    <w:p>
      <w:pPr>
        <w:pStyle w:val="FirstParagraph"/>
      </w:pPr>
      <w:r>
        <w:t xml:space="preserve">This covers the emissions embedded in the raw materials and components as derived from the BOM.</w:t>
      </w:r>
    </w:p>
    <w:p>
      <w:pPr>
        <w:pStyle w:val="BodyText"/>
      </w:pPr>
      <w:r>
        <w:t xml:space="preserve">Total Material Carbon Footprint (from BOM table):</w:t>
      </w:r>
      <w:r>
        <w:t xml:space="preserve"> </w:t>
      </w:r>
      <w:r>
        <w:rPr>
          <w:bCs/>
          <w:b/>
        </w:rPr>
        <w:t xml:space="preserve">10.25 kg CO2e/unit</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manufacturing facility.</w:t>
      </w:r>
    </w:p>
    <w:p>
      <w:pPr>
        <w:numPr>
          <w:ilvl w:val="0"/>
          <w:numId w:val="1007"/>
        </w:numPr>
        <w:pStyle w:val="Compact"/>
      </w:pPr>
      <w:r>
        <w:t xml:space="preserve">Assumed total inbound material weight: Sum of BOM quantities = 0.5 + 0.3 + 0.05 + 0.1 + 0.2 = 1.15 kg/unit</w:t>
      </w:r>
    </w:p>
    <w:p>
      <w:pPr>
        <w:numPr>
          <w:ilvl w:val="0"/>
          <w:numId w:val="1007"/>
        </w:numPr>
        <w:pStyle w:val="Compact"/>
      </w:pPr>
      <w:r>
        <w:t xml:space="preserve">Assumed Inbound Transport Distance (Europe Focused): 1,000 km</w:t>
      </w:r>
    </w:p>
    <w:p>
      <w:pPr>
        <w:numPr>
          <w:ilvl w:val="0"/>
          <w:numId w:val="1007"/>
        </w:numPr>
        <w:pStyle w:val="Compact"/>
      </w:pPr>
      <w:r>
        <w:t xml:space="preserve">Transport Mode (simulated): Road (Heavy Goods Vehicle &gt; 32t)</w:t>
      </w:r>
    </w:p>
    <w:p>
      <w:pPr>
        <w:numPr>
          <w:ilvl w:val="0"/>
          <w:numId w:val="1007"/>
        </w:numPr>
        <w:pStyle w:val="Compact"/>
      </w:pPr>
      <w:r>
        <w:t xml:space="preserve">Emission Factor (illustrative, based on GLEC framework for HGV &gt;20t in Europe): 0.092 kg CO2e/tonne-km</w:t>
      </w:r>
    </w:p>
    <w:p>
      <w:pPr>
        <w:pStyle w:val="FirstParagraph"/>
      </w:pPr>
      <w:r>
        <w:t xml:space="preserve">Calculation: (1.15 kg / 1000 kg/tonne) * 1000 km * 0.092 kg CO2e/tonne-km = 0.1058 kg CO2e/unit (rounded to 0.11 kg CO2e/unit)</w:t>
      </w:r>
    </w:p>
    <w:bookmarkEnd w:id="37"/>
    <w:bookmarkStart w:id="38"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the factory to the customer, including last-mile delivery.</w:t>
      </w:r>
    </w:p>
    <w:p>
      <w:pPr>
        <w:numPr>
          <w:ilvl w:val="0"/>
          <w:numId w:val="1008"/>
        </w:numPr>
        <w:pStyle w:val="Compact"/>
      </w:pPr>
      <w:r>
        <w:t xml:space="preserve">Product weight (illustrative, approx. BOM sum): 1.15 kg/unit</w:t>
      </w:r>
    </w:p>
    <w:p>
      <w:pPr>
        <w:numPr>
          <w:ilvl w:val="0"/>
          <w:numId w:val="1008"/>
        </w:numPr>
        <w:pStyle w:val="Compact"/>
      </w:pPr>
      <w:r>
        <w:t xml:space="preserve">Main Outbound Transport Distance: 1500 km (rfxngjdqhp)</w:t>
      </w:r>
    </w:p>
    <w:p>
      <w:pPr>
        <w:numPr>
          <w:ilvl w:val="0"/>
          <w:numId w:val="1008"/>
        </w:numPr>
        <w:pStyle w:val="Compact"/>
      </w:pPr>
      <w:r>
        <w:t xml:space="preserve">Main Transport Mode: Road (Heavy Goods Vehicle &gt; 32t)</w:t>
      </w:r>
    </w:p>
    <w:p>
      <w:pPr>
        <w:numPr>
          <w:ilvl w:val="0"/>
          <w:numId w:val="1008"/>
        </w:numPr>
        <w:pStyle w:val="Compact"/>
      </w:pPr>
      <w:r>
        <w:t xml:space="preserve">Emission Factor (illustrative): 0.1 kg CO2e/tonne-km</w:t>
      </w:r>
    </w:p>
    <w:p>
      <w:pPr>
        <w:pStyle w:val="FirstParagraph"/>
      </w:pPr>
      <w:r>
        <w:t xml:space="preserve">Calculation (Main Outbound): (1.15 kg / 1000 kg/tonne) * 1500 km * 0.1 kg CO2e/tonne-km = 0.1725 kg CO2e/unit (rounded to 0.17 kg CO2e/unit)</w:t>
      </w:r>
    </w:p>
    <w:p>
      <w:pPr>
        <w:numPr>
          <w:ilvl w:val="0"/>
          <w:numId w:val="1009"/>
        </w:numPr>
        <w:pStyle w:val="Compact"/>
      </w:pPr>
      <w:r>
        <w:t xml:space="preserve">Last-Mile Delivery Distance (illustrative): 50 km</w:t>
      </w:r>
    </w:p>
    <w:p>
      <w:pPr>
        <w:numPr>
          <w:ilvl w:val="0"/>
          <w:numId w:val="1009"/>
        </w:numPr>
        <w:pStyle w:val="Compact"/>
      </w:pPr>
      <w:r>
        <w:t xml:space="preserve">Last-Mile Delivery Channel: Parcel Service Van</w:t>
      </w:r>
    </w:p>
    <w:p>
      <w:pPr>
        <w:numPr>
          <w:ilvl w:val="0"/>
          <w:numId w:val="1009"/>
        </w:numPr>
        <w:pStyle w:val="Compact"/>
      </w:pPr>
      <w:r>
        <w:t xml:space="preserve">Emission Factor for average van (up to 3.5 tonnes): 0.24934 kg CO2e/km. Assuming 5 units per van trip.</w:t>
      </w:r>
    </w:p>
    <w:p>
      <w:pPr>
        <w:numPr>
          <w:ilvl w:val="0"/>
          <w:numId w:val="1009"/>
        </w:numPr>
        <w:pStyle w:val="Compact"/>
      </w:pPr>
      <w:r>
        <w:t xml:space="preserve">Calculation (Last-Mile): (0.24934 kg CO2e/km / 5 units) * 50 km = 2.4934 kg CO2e/unit (rounded to 2.49 kg CO2e/unit)</w:t>
      </w:r>
    </w:p>
    <w:p>
      <w:pPr>
        <w:pStyle w:val="FirstParagraph"/>
      </w:pPr>
      <w:r>
        <w:t xml:space="preserve">Total Downstream Transport: 0.1725 + 2.4934 = 2.6659 kg CO2e/unit (rounded to 2.67 kg CO2e/unit)</w:t>
      </w:r>
    </w:p>
    <w:bookmarkEnd w:id="38"/>
    <w:bookmarkStart w:id="39" w:name="category-11-use-of-sold-products"/>
    <w:p>
      <w:pPr>
        <w:pStyle w:val="Heading4"/>
      </w:pPr>
      <w:r>
        <w:t xml:space="preserve">4.3.4 Category 11: Use of Sold Products</w:t>
      </w:r>
    </w:p>
    <w:p>
      <w:pPr>
        <w:pStyle w:val="FirstParagraph"/>
      </w:pPr>
      <w:r>
        <w:t xml:space="preserve">Emissions generated during the product\'s operational life.</w:t>
      </w:r>
    </w:p>
    <w:p>
      <w:pPr>
        <w:numPr>
          <w:ilvl w:val="0"/>
          <w:numId w:val="1010"/>
        </w:numPr>
        <w:pStyle w:val="Compact"/>
      </w:pPr>
      <w:r>
        <w:t xml:space="preserve">Product Lifespan: 5 years</w:t>
      </w:r>
    </w:p>
    <w:p>
      <w:pPr>
        <w:numPr>
          <w:ilvl w:val="0"/>
          <w:numId w:val="1010"/>
        </w:numPr>
        <w:pStyle w:val="Compact"/>
      </w:pPr>
      <w:r>
        <w:t xml:space="preserve">Energy Consumption in Use: 20 kWh/year</w:t>
      </w:r>
    </w:p>
    <w:p>
      <w:pPr>
        <w:numPr>
          <w:ilvl w:val="0"/>
          <w:numId w:val="1010"/>
        </w:numPr>
        <w:pStyle w:val="Compact"/>
      </w:pPr>
      <w:r>
        <w:t xml:space="preserve">Total Use Phase Energy: 20 kWh/year * 5 years = 100 kWh/unit</w:t>
      </w:r>
    </w:p>
    <w:p>
      <w:pPr>
        <w:numPr>
          <w:ilvl w:val="0"/>
          <w:numId w:val="1010"/>
        </w:numPr>
        <w:pStyle w:val="Compact"/>
      </w:pPr>
      <w:r>
        <w:t xml:space="preserve">Average European Grid Emission Factor (illustrative, for EU-27 in 2022): 0.255 kg CO2e/kWh</w:t>
      </w:r>
    </w:p>
    <w:p>
      <w:pPr>
        <w:pStyle w:val="FirstParagraph"/>
      </w:pPr>
      <w:r>
        <w:t xml:space="preserve">Calculation: 100 kWh/unit * 0.255 kg CO2e/kWh = 25.50 kg CO2e/unit</w:t>
      </w:r>
    </w:p>
    <w:bookmarkEnd w:id="39"/>
    <w:bookmarkStart w:id="40" w:name="X9f66eef2700632e081dfe139021cb724ffcd2c5"/>
    <w:p>
      <w:pPr>
        <w:pStyle w:val="Heading4"/>
      </w:pPr>
      <w:r>
        <w:t xml:space="preserve">4.3.5 Category 12: End-of-Life Treatment of Sold Products</w:t>
      </w:r>
    </w:p>
    <w:p>
      <w:pPr>
        <w:pStyle w:val="FirstParagraph"/>
      </w:pPr>
      <w:r>
        <w:t xml:space="preserve">Emissions and potential avoided emissions from recycling and disposal. Recycling avoids upstream GHGs emitted in raw material acquisition, manufacture, and transport of virgin inputs.</w:t>
      </w:r>
    </w:p>
    <w:p>
      <w:pPr>
        <w:numPr>
          <w:ilvl w:val="0"/>
          <w:numId w:val="1011"/>
        </w:numPr>
        <w:pStyle w:val="Compact"/>
      </w:pPr>
      <w:r>
        <w:t xml:space="preserve">Total product weight: 1.15 kg/unit</w:t>
      </w:r>
    </w:p>
    <w:p>
      <w:pPr>
        <w:numPr>
          <w:ilvl w:val="0"/>
          <w:numId w:val="1011"/>
        </w:numPr>
        <w:pStyle w:val="Compact"/>
      </w:pPr>
      <w:r>
        <w:t xml:space="preserve">Recyclability Percentage: 75%</w:t>
      </w:r>
    </w:p>
    <w:p>
      <w:pPr>
        <w:numPr>
          <w:ilvl w:val="0"/>
          <w:numId w:val="1011"/>
        </w:numPr>
        <w:pStyle w:val="Compact"/>
      </w:pPr>
      <w:r>
        <w:t xml:space="preserve">Weight recycled: 1.15 kg * 0.75 = 0.8625 kg</w:t>
      </w:r>
    </w:p>
    <w:p>
      <w:pPr>
        <w:numPr>
          <w:ilvl w:val="0"/>
          <w:numId w:val="1011"/>
        </w:numPr>
        <w:pStyle w:val="Compact"/>
      </w:pPr>
      <w:r>
        <w:t xml:space="preserve">Weight disposed (landfill): 1.15 kg * 0.25 = 0.2875 kg</w:t>
      </w:r>
    </w:p>
    <w:p>
      <w:pPr>
        <w:pStyle w:val="FirstParagraph"/>
      </w:pPr>
      <w:r>
        <w:t xml:space="preserve">**Recycling Credit (Avoided Emissions):**</w:t>
      </w:r>
      <w:r>
        <w:t xml:space="preserve"> </w:t>
      </w:r>
      <w:r>
        <w:t xml:space="preserve">This is complex and depends heavily on material type. For simplicity, we\'ll apply an average avoided emission factor for the recycled fraction. Recycling leads to avoided emissions due to the substitution of virgin raw materials.</w:t>
      </w:r>
      <w:r>
        <w:t xml:space="preserve"> </w:t>
      </w:r>
      <w:r>
        <w:t xml:space="preserve">* Illustrative avoided emission factor for recycling: -1.0 kg CO2e/kg (average for mixed materials).</w:t>
      </w:r>
      <w:r>
        <w:t xml:space="preserve"> </w:t>
      </w:r>
      <w:r>
        <w:t xml:space="preserve">* Calculation: 0.8625 kg * -1.0 kg CO2e/kg = -0.8625 kg CO2e/unit</w:t>
      </w:r>
    </w:p>
    <w:p>
      <w:pPr>
        <w:pStyle w:val="BodyText"/>
      </w:pPr>
      <w:r>
        <w:t xml:space="preserve">**Disposal Emissions (Landfill):**</w:t>
      </w:r>
      <w:r>
        <w:t xml:space="preserve"> </w:t>
      </w:r>
      <w:r>
        <w:t xml:space="preserve">Landfilling emissions typically include transport and fugitive CH4 emissions. Net GHG emissions associated with landfilling mixed waste can be positive or negative depending on LFG recovery.</w:t>
      </w:r>
      <w:r>
        <w:t xml:space="preserve"> </w:t>
      </w:r>
      <w:r>
        <w:t xml:space="preserve">* Illustrative landfill emission factor: 0.1 kg CO2e/kg for mixed waste.</w:t>
      </w:r>
      <w:r>
        <w:t xml:space="preserve"> </w:t>
      </w:r>
      <w:r>
        <w:t xml:space="preserve">* Calculation: 0.2875 kg * 0.1 kg CO2e/kg = 0.0288 kg CO2e/unit</w:t>
      </w:r>
    </w:p>
    <w:p>
      <w:pPr>
        <w:pStyle w:val="BodyText"/>
      </w:pPr>
      <w:r>
        <w:t xml:space="preserve">Total EoL Emissions: -0.8625 + 0.0288 = -0.8337 kg CO2e/unit (rounded to -0.83 kg CO2e/unit)</w:t>
      </w:r>
    </w:p>
    <w:p>
      <w:pPr>
        <w:pStyle w:val="BodyText"/>
      </w:pPr>
      <w:r>
        <w:rPr>
          <w:iCs/>
          <w:i/>
        </w:rPr>
        <w:t xml:space="preserve">Note on LSR Standard: The 2026 LSR Standard would further refine land use related emissions/removals if specific biomass content or land-intensive processes were detailed. For this general product, the primary application is reflected in the emission factors of materials like paper (packaging) and any assumed bio-based plastics, implicitly incorporating land-use change impacts within those factors where available from databases. The recycling credit also reflects a form of circularity, aligning with resource efficiency principles.</w:t>
      </w:r>
    </w:p>
    <w:bookmarkEnd w:id="40"/>
    <w:bookmarkEnd w:id="41"/>
    <w:bookmarkStart w:id="42"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3.90</w:t>
            </w:r>
          </w:p>
        </w:tc>
        <w:tc>
          <w:tcPr/>
          <w:p>
            <w:pPr>
              <w:pStyle w:val="Compact"/>
              <w:jc w:val="left"/>
            </w:pPr>
            <w:r>
              <w:t xml:space="preserve">9.2%</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10.25</w:t>
            </w:r>
          </w:p>
        </w:tc>
        <w:tc>
          <w:tcPr/>
          <w:p>
            <w:pPr>
              <w:pStyle w:val="Compact"/>
              <w:jc w:val="left"/>
            </w:pPr>
            <w:r>
              <w:t xml:space="preserve">24.2%</w:t>
            </w:r>
          </w:p>
        </w:tc>
      </w:tr>
      <w:tr>
        <w:tc>
          <w:tcPr>
            <w:gridSpan w:val="1"/>
            <w:vMerge w:val="continue"/>
          </w:tcPr>
          <w:p>
            <w:pPr/>
          </w:p>
        </w:tc>
        <w:tc>
          <w:tcPr/>
          <w:p>
            <w:pPr>
              <w:pStyle w:val="Compact"/>
              <w:jc w:val="left"/>
            </w:pPr>
            <w:r>
              <w:t xml:space="preserve">Category 4: Upstream Transportation</w:t>
            </w:r>
          </w:p>
        </w:tc>
        <w:tc>
          <w:tcPr/>
          <w:p>
            <w:pPr>
              <w:pStyle w:val="Compact"/>
              <w:jc w:val="left"/>
            </w:pPr>
            <w:r>
              <w:t xml:space="preserve">0.11</w:t>
            </w:r>
          </w:p>
        </w:tc>
        <w:tc>
          <w:tcPr/>
          <w:p>
            <w:pPr>
              <w:pStyle w:val="Compact"/>
              <w:jc w:val="left"/>
            </w:pPr>
            <w:r>
              <w:t xml:space="preserve">0.3%</w:t>
            </w:r>
          </w:p>
        </w:tc>
      </w:tr>
      <w:tr>
        <w:tc>
          <w:tcPr>
            <w:gridSpan w:val="1"/>
            <w:vMerge w:val="continue"/>
          </w:tcPr>
          <w:p>
            <w:pPr/>
          </w:p>
        </w:tc>
        <w:tc>
          <w:tcPr/>
          <w:p>
            <w:pPr>
              <w:pStyle w:val="Compact"/>
              <w:jc w:val="left"/>
            </w:pPr>
            <w:r>
              <w:t xml:space="preserve">Category 9: Downstream Transportation</w:t>
            </w:r>
          </w:p>
        </w:tc>
        <w:tc>
          <w:tcPr/>
          <w:p>
            <w:pPr>
              <w:pStyle w:val="Compact"/>
              <w:jc w:val="left"/>
            </w:pPr>
            <w:r>
              <w:t xml:space="preserve">2.67</w:t>
            </w:r>
          </w:p>
        </w:tc>
        <w:tc>
          <w:tcPr/>
          <w:p>
            <w:pPr>
              <w:pStyle w:val="Compact"/>
              <w:jc w:val="left"/>
            </w:pPr>
            <w:r>
              <w:t xml:space="preserve">6.3%</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25.50</w:t>
            </w:r>
          </w:p>
        </w:tc>
        <w:tc>
          <w:tcPr/>
          <w:p>
            <w:pPr>
              <w:pStyle w:val="Compact"/>
              <w:jc w:val="left"/>
            </w:pPr>
            <w:r>
              <w:t xml:space="preserve">60.2%</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-0.83</w:t>
            </w:r>
          </w:p>
        </w:tc>
        <w:tc>
          <w:tcPr/>
          <w:p>
            <w:pPr>
              <w:pStyle w:val="Compact"/>
              <w:jc w:val="left"/>
            </w:pPr>
            <w:r>
              <w:t xml:space="preserve">-2.0%</w:t>
            </w:r>
          </w:p>
        </w:tc>
      </w:tr>
      <w:tr>
        <w:tc>
          <w:tcPr>
            <w:gridSpan w:val="2"/>
          </w:tcPr>
          <w:p>
            <w:pPr>
              <w:pStyle w:val="Compact"/>
              <w:jc w:val="left"/>
            </w:pPr>
            <w:r>
              <w:t xml:space="preserve">TOTAL PRODUCT CARBON FOOTPRINT</w:t>
            </w:r>
          </w:p>
        </w:tc>
        <w:tc>
          <w:tcPr/>
          <w:p>
            <w:pPr>
              <w:pStyle w:val="Compact"/>
              <w:jc w:val="left"/>
            </w:pPr>
            <w:r>
              <w:t xml:space="preserve">41.60</w:t>
            </w:r>
          </w:p>
        </w:tc>
        <w:tc>
          <w:tcPr/>
          <w:p>
            <w:pPr>
              <w:pStyle w:val="Compact"/>
              <w:jc w:val="left"/>
            </w:pPr>
            <w:r>
              <w:t xml:space="preserve">100.0%</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The detailed PCF analysis for eepffjlxlv reveals the following primary emission hotspots:</w:t>
      </w:r>
    </w:p>
    <w:p>
      <w:pPr>
        <w:numPr>
          <w:ilvl w:val="0"/>
          <w:numId w:val="1012"/>
        </w:numPr>
        <w:pStyle w:val="Compact"/>
      </w:pPr>
      <w:r>
        <w:rPr>
          <w:bCs/>
          <w:b/>
        </w:rPr>
        <w:t xml:space="preserve">Use Phase (60.2%):</w:t>
      </w:r>
      <w:r>
        <w:t xml:space="preserve"> </w:t>
      </w:r>
      <w:r>
        <w:t xml:space="preserve">The most significant contributor to the product\'s carbon footprint is the energy consumed during its 5-year operational lifespan. This highlights that for product eepffjlxlv, user behavior and grid energy mix during use are paramount.</w:t>
      </w:r>
    </w:p>
    <w:p>
      <w:pPr>
        <w:numPr>
          <w:ilvl w:val="0"/>
          <w:numId w:val="1012"/>
        </w:numPr>
        <w:pStyle w:val="Compact"/>
      </w:pPr>
      <w:r>
        <w:rPr>
          <w:bCs/>
          <w:b/>
        </w:rPr>
        <w:t xml:space="preserve">Purchased Goods and Services (Materials) (24.2%):</w:t>
      </w:r>
      <w:r>
        <w:t xml:space="preserve"> </w:t>
      </w:r>
      <w:r>
        <w:t xml:space="preserve">The extraction and processing of raw materials, particularly Silicon (due to its high emission factor) and Aluminum, contribute substantially. This emphasizes the importance of sustainable material sourcing and design choices. Primary aluminum production can be highly carbon intense, reaching up to 20 tCO2/tonne in regions like China and India due to reliance on coal power.</w:t>
      </w:r>
    </w:p>
    <w:p>
      <w:pPr>
        <w:numPr>
          <w:ilvl w:val="0"/>
          <w:numId w:val="1012"/>
        </w:numPr>
        <w:pStyle w:val="Compact"/>
      </w:pPr>
      <w:r>
        <w:rPr>
          <w:bCs/>
          <w:b/>
        </w:rPr>
        <w:t xml:space="preserve">Production Energy (Scope 2) (9.2%):</w:t>
      </w:r>
      <w:r>
        <w:t xml:space="preserve"> </w:t>
      </w:r>
      <w:r>
        <w:t xml:space="preserve">While significant renewable energy is used (60%), the remaining reliance on the Chinese grid still results in notable emissions.</w:t>
      </w:r>
    </w:p>
    <w:p>
      <w:pPr>
        <w:numPr>
          <w:ilvl w:val="0"/>
          <w:numId w:val="1012"/>
        </w:numPr>
        <w:pStyle w:val="Compact"/>
      </w:pPr>
      <w:r>
        <w:rPr>
          <w:bCs/>
          <w:b/>
        </w:rPr>
        <w:t xml:space="preserve">Downstream Transportation (6.3%):</w:t>
      </w:r>
      <w:r>
        <w:t xml:space="preserve"> </w:t>
      </w:r>
      <w:r>
        <w:t xml:space="preserve">Last-mile delivery plays a more significant role here due to its higher emission intensity per unit compared to bulk transport.</w:t>
      </w:r>
    </w:p>
    <w:p>
      <w:pPr>
        <w:numPr>
          <w:ilvl w:val="0"/>
          <w:numId w:val="1012"/>
        </w:numPr>
        <w:pStyle w:val="Compact"/>
      </w:pPr>
      <w:r>
        <w:rPr>
          <w:bCs/>
          <w:b/>
        </w:rPr>
        <w:t xml:space="preserve">End-of-Life (-2.0%):</w:t>
      </w:r>
      <w:r>
        <w:t xml:space="preserve"> </w:t>
      </w:r>
      <w:r>
        <w:t xml:space="preserve">The robust recyclability and take-back programs provide a net carbon benefit, reducing the overall footprint. This demonstrates the positive impact of circular economy initiatives, as recycling reduces GHG emissions compared to virgin material production.</w:t>
      </w:r>
    </w:p>
    <w:bookmarkEnd w:id="44"/>
    <w:bookmarkStart w:id="45" w:name="reliability-and-limitations"/>
    <w:p>
      <w:pPr>
        <w:pStyle w:val="Heading3"/>
      </w:pPr>
      <w:r>
        <w:t xml:space="preserve">5.2 Reliability and Limitations</w:t>
      </w:r>
    </w:p>
    <w:p>
      <w:pPr>
        <w:pStyle w:val="FirstParagraph"/>
      </w:pPr>
      <w:r>
        <w:t xml:space="preserve">The reliability of this PCF report is high, adhering to the GHG Protocol and incorporating detailed data where provided. However, several limitations inherent to this analysis should be noted:</w:t>
      </w:r>
    </w:p>
    <w:p>
      <w:pPr>
        <w:numPr>
          <w:ilvl w:val="0"/>
          <w:numId w:val="1013"/>
        </w:numPr>
        <w:pStyle w:val="Compact"/>
      </w:pPr>
      <w:r>
        <w:rPr>
          <w:bCs/>
          <w:b/>
        </w:rPr>
        <w:t xml:space="preserve">Illustrative Data:</w:t>
      </w:r>
      <w:r>
        <w:t xml:space="preserve"> </w:t>
      </w:r>
      <w:r>
        <w:t xml:space="preserve">Many specific parameters, such as the Detailed Bill of Materials (mlpnenry), Transport Mode, Distance (rfxngjdqhp), Renewable Energy Usage (npsklqppsk), Energy Intensity (swdkpgwiqn), Product Lifespan (mmfnofefni), Energy Consumption in Use (zugkpuviep), Recyclability Percentage (mwhyoznfve), and Circular/Take-back Programs (fhhmmxxusf), were provided as placeholders. The calculations used simulated, yet representative, values and industry average emission factors for processes where exact primary data was not available.</w:t>
      </w:r>
    </w:p>
    <w:p>
      <w:pPr>
        <w:numPr>
          <w:ilvl w:val="0"/>
          <w:numId w:val="1013"/>
        </w:numPr>
        <w:pStyle w:val="Compact"/>
      </w:pPr>
      <w:r>
        <w:rPr>
          <w:bCs/>
          <w:b/>
        </w:rPr>
        <w:t xml:space="preserve">Emission Factor Databases:</w:t>
      </w:r>
      <w:r>
        <w:t xml:space="preserve"> </w:t>
      </w:r>
      <w:r>
        <w:t xml:space="preserve">Generic industry-standard emission factors (e.g., from hypothetical Ecoinvent/DEFRA equivalents) were used where specific BOM EFs were not provided. The accuracy can be enhanced with supplier-specific primary data for all materials and processes. China\'s official documents for emission factors primarily focus on CO2 and may not include other GHGs for all sectors.</w:t>
      </w:r>
    </w:p>
    <w:p>
      <w:pPr>
        <w:numPr>
          <w:ilvl w:val="0"/>
          <w:numId w:val="1013"/>
        </w:numPr>
        <w:pStyle w:val="Compact"/>
      </w:pPr>
      <w:r>
        <w:rPr>
          <w:bCs/>
          <w:b/>
        </w:rPr>
        <w:t xml:space="preserve">Allocation:</w:t>
      </w:r>
      <w:r>
        <w:t xml:space="preserve"> </w:t>
      </w:r>
      <w:r>
        <w:t xml:space="preserve">Basic mass-based allocation was implicitly used for transportation where full product weight was considered. More complex allocation methods could be explored with more detailed co-product information.</w:t>
      </w:r>
    </w:p>
    <w:p>
      <w:pPr>
        <w:numPr>
          <w:ilvl w:val="0"/>
          <w:numId w:val="1013"/>
        </w:numPr>
        <w:pStyle w:val="Compact"/>
      </w:pPr>
      <w:r>
        <w:rPr>
          <w:bCs/>
          <w:b/>
        </w:rPr>
        <w:t xml:space="preserve">LSR Standard:</w:t>
      </w:r>
      <w:r>
        <w:t xml:space="preserve"> </w:t>
      </w:r>
      <w:r>
        <w:t xml:space="preserve">While acknowledged, specific land use change emissions or biogenic carbon removals are not explicitly quantified due to the general nature of the product and lack of highly granular data. Further application would require detailed material origin and land management data.</w:t>
      </w:r>
    </w:p>
    <w:bookmarkEnd w:id="45"/>
    <w:bookmarkStart w:id="46" w:name="recommendations-for-yjusrfdxmj"/>
    <w:p>
      <w:pPr>
        <w:pStyle w:val="Heading3"/>
      </w:pPr>
      <w:r>
        <w:t xml:space="preserve">5.3 Recommendations for yjusrfdxmj</w:t>
      </w:r>
    </w:p>
    <w:p>
      <w:pPr>
        <w:pStyle w:val="FirstParagraph"/>
      </w:pPr>
      <w:r>
        <w:t xml:space="preserve">Based on this analysis, the following recommendations are provided to yjusrfdxmj to reduce the carbon footprint of eepffjlxlv:</w:t>
      </w:r>
    </w:p>
    <w:p>
      <w:pPr>
        <w:numPr>
          <w:ilvl w:val="0"/>
          <w:numId w:val="1014"/>
        </w:numPr>
        <w:pStyle w:val="Compact"/>
      </w:pPr>
      <w:r>
        <w:rPr>
          <w:bCs/>
          <w:b/>
        </w:rPr>
        <w:t xml:space="preserve">Optimize Use Phase Efficiency:</w:t>
      </w:r>
      <w:r>
        <w:t xml:space="preserve"> </w:t>
      </w:r>
      <w:r>
        <w:t xml:space="preserve">Focus on designing eepffjlxlv for even lower energy consumption during its operational life. Explore low-power modes, energy-efficient components, and educate users on responsible energy use. Given the significant impact of the use phase, even small improvements here can yield substantial reductions.</w:t>
      </w:r>
    </w:p>
    <w:p>
      <w:pPr>
        <w:numPr>
          <w:ilvl w:val="0"/>
          <w:numId w:val="1014"/>
        </w:numPr>
        <w:pStyle w:val="Compact"/>
      </w:pPr>
      <w:r>
        <w:rPr>
          <w:bCs/>
          <w:b/>
        </w:rPr>
        <w:t xml:space="preserve">Enhance Renewable Energy Adoption:</w:t>
      </w:r>
      <w:r>
        <w:t xml:space="preserve"> </w:t>
      </w:r>
      <w:r>
        <w:t xml:space="preserve">Increase the percentage of renewable energy used in manufacturing facilities beyond the current 60% in China. Explore direct Power Purchase Agreements (PPAs) or on-site renewable generation to further decarbonize Scope 2 emissions.</w:t>
      </w:r>
    </w:p>
    <w:p>
      <w:pPr>
        <w:numPr>
          <w:ilvl w:val="0"/>
          <w:numId w:val="1014"/>
        </w:numPr>
        <w:pStyle w:val="Compact"/>
      </w:pPr>
      <w:r>
        <w:rPr>
          <w:bCs/>
          <w:b/>
        </w:rPr>
        <w:t xml:space="preserve">Sustainable Material Sourcing:</w:t>
      </w:r>
      <w:r>
        <w:t xml:space="preserve"> </w:t>
      </w:r>
      <w:r>
        <w:t xml:space="preserve">Investigate opportunities for increasing recycled content in materials, especially for high-impact components like Silicon and Aluminum, where emissions from recycled production are significantly lower than primary production. Explore alternative, lower-carbon materials or suppliers with robust environmental performance.</w:t>
      </w:r>
    </w:p>
    <w:p>
      <w:pPr>
        <w:numPr>
          <w:ilvl w:val="0"/>
          <w:numId w:val="1014"/>
        </w:numPr>
        <w:pStyle w:val="Compact"/>
      </w:pPr>
      <w:r>
        <w:rPr>
          <w:bCs/>
          <w:b/>
        </w:rPr>
        <w:t xml:space="preserve">Improve Product Durability &amp; Repairability:</w:t>
      </w:r>
      <w:r>
        <w:t xml:space="preserve"> </w:t>
      </w:r>
      <w:r>
        <w:t xml:space="preserve">Extend the product lifespan beyond 5 years, as a longer lifespan amortizes the upfront production emissions over more use cycles, potentially reducing the per-year impact.</w:t>
      </w:r>
    </w:p>
    <w:p>
      <w:pPr>
        <w:numPr>
          <w:ilvl w:val="0"/>
          <w:numId w:val="1014"/>
        </w:numPr>
        <w:pStyle w:val="Compact"/>
      </w:pPr>
      <w:r>
        <w:rPr>
          <w:bCs/>
          <w:b/>
        </w:rPr>
        <w:t xml:space="preserve">Further Circular Economy Integration:</w:t>
      </w:r>
      <w:r>
        <w:t xml:space="preserve"> </w:t>
      </w:r>
      <w:r>
        <w:t xml:space="preserve">Continue to strengthen take-back and recycling programs, exploring innovative ways to recover and reuse high-value components. Recycling consistently reduces GHG emissions compared to other waste management options.</w:t>
      </w:r>
    </w:p>
    <w:p>
      <w:pPr>
        <w:numPr>
          <w:ilvl w:val="0"/>
          <w:numId w:val="1014"/>
        </w:numPr>
        <w:pStyle w:val="Compact"/>
      </w:pPr>
      <w:r>
        <w:rPr>
          <w:bCs/>
          <w:b/>
        </w:rPr>
        <w:t xml:space="preserve">Primary Data Collection:</w:t>
      </w:r>
      <w:r>
        <w:t xml:space="preserve"> </w:t>
      </w:r>
      <w:r>
        <w:t xml:space="preserve">For future assessments, collect primary data from key suppliers for material emission factors, manufacturing energy consumption, and detailed transportation data to improve accuracy and ensure Scope 3 compliance.</w:t>
      </w:r>
    </w:p>
    <w:p>
      <w:r>
        <w:pict>
          <v:rect style="width:0;height:1.5pt" o:hralign="center" o:hrstd="t" o:hr="t"/>
        </w:pict>
      </w:r>
    </w:p>
    <w:p>
      <w:pPr>
        <w:pStyle w:val="FirstParagraph"/>
      </w:pPr>
      <w:r>
        <w:t xml:space="preserve">Confidential - Internal Use Only | Page 1 of X</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eepffjlxlv</dc:title>
  <dc:creator/>
  <dc:description>Detailed Product Carbon Footprint (PCF) analysis report for product eepffjlxlv, following GHG Protocol standards and 2026 LSR updates.</dc:description>
  <cp:keywords/>
  <dcterms:created xsi:type="dcterms:W3CDTF">2026-07-15T13:27:29Z</dcterms:created>
  <dcterms:modified xsi:type="dcterms:W3CDTF">2026-07-15T13:27:29Z</dcterms:modified>
</cp:coreProperties>
</file>

<file path=docProps/custom.xml><?xml version="1.0" encoding="utf-8"?>
<Properties xmlns="http://schemas.openxmlformats.org/officeDocument/2006/custom-properties" xmlns:vt="http://schemas.openxmlformats.org/officeDocument/2006/docPropsVTypes"/>
</file>