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5000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EcoWidget 5000</w:t>
      </w:r>
    </w:p>
    <w:p>
      <w:pPr>
        <w:pStyle w:val="BodyText"/>
      </w:pPr>
      <w:r>
        <w:rPr>
          <w:bCs/>
          <w:b/>
        </w:rPr>
        <w:t xml:space="preserve">Company Name:</w:t>
      </w:r>
      <w:r>
        <w:t xml:space="preserve"> </w:t>
      </w:r>
      <w:r>
        <w:t xml:space="preserve">GreenTech Solutions Inc.</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Anya Sharma</w:t>
      </w:r>
    </w:p>
    <w:p>
      <w:pPr>
        <w:pStyle w:val="BodyText"/>
      </w:pPr>
      <w:r>
        <w:t xml:space="preserve">This report is generated based on available data and industry standards, providing an estimation of the product\'s carbon footprint.</w:t>
      </w:r>
    </w:p>
    <w:bookmarkEnd w:id="20"/>
    <w:bookmarkStart w:id="21" w:name="X549fd3344494666b8e35652ad81652267f36de4"/>
    <w:p>
      <w:pPr>
        <w:pStyle w:val="Heading1"/>
      </w:pPr>
      <w:r>
        <w:t xml:space="preserve">Product Carbon Footprint Analysis: EcoWidget 5000</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"EcoWidget 5000", manufactured by GreenTech Solutions Inc. The analysis was conducted by Dr. Anya Sharma, Senior Sustainability Consultant, specializing in the GHG Protocol. The objective is to quantify the greenhouse gas emissions associated with the product\'s lifecycle, from material acquisition to end-of-life, adhering strictly to the GHG Protocol\'s Corporate Standard and Scope 3 Standard, incorporating the 2026 Land Sector and Removals (LSR) Standard where applicable. The total carbon footprint for one functional unit (1.0 unit) of EcoWidget 5000 is calculated to be 24.545 kg CO2e. The use phase of the product represents the most significant contributor to its overall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(PCF) analysis.</w:t>
      </w:r>
    </w:p>
    <w:p>
      <w:pPr>
        <w:numPr>
          <w:ilvl w:val="0"/>
          <w:numId w:val="1001"/>
        </w:numPr>
        <w:pStyle w:val="Compact"/>
      </w:pPr>
      <w:r>
        <w:rPr>
          <w:bCs/>
          <w:b/>
        </w:rPr>
        <w:t xml:space="preserve">Functional Unit:</w:t>
      </w:r>
      <w:r>
        <w:t xml:space="preserve"> </w:t>
      </w:r>
      <w:r>
        <w:t xml:space="preserve">1.0 unit of EcoWidget 5000.</w:t>
      </w:r>
    </w:p>
    <w:p>
      <w:pPr>
        <w:numPr>
          <w:ilvl w:val="0"/>
          <w:numId w:val="1001"/>
        </w:numPr>
        <w:pStyle w:val="Compact"/>
      </w:pPr>
      <w:r>
        <w:rPr>
          <w:bCs/>
          <w:b/>
        </w:rPr>
        <w:t xml:space="preserve">System Boundary:</w:t>
      </w:r>
      <w:r>
        <w:t xml:space="preserve"> </w:t>
      </w:r>
      <w:r>
        <w:t xml:space="preserve">Factory-gate to End-of-Life, encompassing all relevant lifecycle stages including material extraction, manufacturing, transportation,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Use Phase: Assumed European average electricity mix.</w:t>
      </w:r>
    </w:p>
    <w:p>
      <w:pPr>
        <w:numPr>
          <w:ilvl w:val="0"/>
          <w:numId w:val="1001"/>
        </w:numPr>
        <w:pStyle w:val="Compact"/>
      </w:pPr>
      <w:r>
        <w:rPr>
          <w:bCs/>
          <w:b/>
        </w:rPr>
        <w:t xml:space="preserve">Accounting Standard:</w:t>
      </w:r>
      <w:r>
        <w:t xml:space="preserve"> </w:t>
      </w:r>
      <w:r>
        <w:t xml:space="preserve">GHG Protocol, specifically applying the Corporate Standard and the Corporate Value Chain (Scope 3) Accounting and Reporting Standard. The 2026 Land Sector and Removals (LSR) Standard is acknowledged and integrated for carbon removals.</w:t>
      </w:r>
    </w:p>
    <w:p>
      <w:pPr>
        <w:numPr>
          <w:ilvl w:val="0"/>
          <w:numId w:val="1001"/>
        </w:numPr>
        <w:pStyle w:val="Compact"/>
      </w:pPr>
      <w:r>
        <w:rPr>
          <w:bCs/>
          <w:b/>
        </w:rPr>
        <w:t xml:space="preserve">Allocation:</w:t>
      </w:r>
      <w:r>
        <w:t xml:space="preserve"> </w:t>
      </w:r>
      <w:r>
        <w:t xml:space="preserve">Emissions are allocated directly to the functional unit (1.0 unit of EcoWidget 5000) based on direct material, energy, and process flows. For shared processes (e.g., transport), emissions are allocated by mass.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of the EcoWidget 5000 is mapped into five key stages: Material Acquisition &amp; Manufacturing (Upstream), Production (Factory Operations), Transportation &amp; Distribution, Use Phase, and End-of-Life. Data collection involved primary data provided by GreenTech Solutions Inc. and secondary data from industry-standard emission factor databases (e.g., Ecoinvent/DEFRA, IEA, EPA WARM, GLEC).</w:t>
      </w:r>
    </w:p>
    <w:bookmarkStart w:id="24" w:name="X6e23bca99590eae413ed89a6e0fca7f2b7badf3"/>
    <w:p>
      <w:pPr>
        <w:pStyle w:val="Heading3"/>
      </w:pPr>
      <w:r>
        <w:t xml:space="preserve">Detailed Bill of Materials (BOM) - Input and Emissions (Scope 3, Category 1: Purchased Goods &amp; Services)</w:t>
      </w:r>
    </w:p>
    <w:p>
      <w:pPr>
        <w:pStyle w:val="FirstParagraph"/>
      </w:pPr>
      <w:r>
        <w:t xml:space="preserve">The following table details the Bill of Materials (BOM) for the EcoWidget 5000, including pre-calculated total carbon emissions for each component, ensuring high-accuracy material impact calculation as per GreenTech Solutions Inc.\'s specifications.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of material)</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3.76 kg CO2e</w:t>
            </w:r>
          </w:p>
        </w:tc>
      </w:tr>
      <w:tr>
        <w:tc>
          <w:tcPr>
            <w:gridSpan w:val="7"/>
          </w:tcPr>
          <w:p>
            <w:pPr>
              <w:pStyle w:val="Compact"/>
              <w:jc w:val="right"/>
            </w:pPr>
            <w:r>
              <w:rPr>
                <w:bCs/>
                <w:b/>
              </w:rPr>
              <w:t xml:space="preserve">Total Product Weight:</w:t>
            </w:r>
          </w:p>
        </w:tc>
        <w:tc>
          <w:tcPr/>
          <w:p>
            <w:pPr>
              <w:pStyle w:val="Compact"/>
              <w:jc w:val="left"/>
            </w:pPr>
            <w:r>
              <w:rPr>
                <w:bCs/>
                <w:b/>
              </w:rPr>
              <w:t xml:space="preserve">1.15 kg</w:t>
            </w:r>
          </w:p>
        </w:tc>
      </w:tr>
    </w:tbl>
    <w:bookmarkEnd w:id="24"/>
    <w:bookmarkStart w:id="25" w:name="X5a199042327575bab5e3cf0fa55899d2b531f9b"/>
    <w:p>
      <w:pPr>
        <w:pStyle w:val="Heading3"/>
      </w:pPr>
      <w:r>
        <w:t xml:space="preserve">Energy Inputs &amp; Customization (Production Phase)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 (applied to total energy intensity)</w:t>
      </w:r>
    </w:p>
    <w:p>
      <w:pPr>
        <w:numPr>
          <w:ilvl w:val="0"/>
          <w:numId w:val="1002"/>
        </w:numPr>
        <w:pStyle w:val="Compact"/>
      </w:pPr>
      <w:r>
        <w:rPr>
          <w:bCs/>
          <w:b/>
        </w:rPr>
        <w:t xml:space="preserve">Non-renewable Energy Usage:</w:t>
      </w:r>
      <w:r>
        <w:t xml:space="preserve"> </w:t>
      </w:r>
      <w:r>
        <w:t xml:space="preserve">40% (remainder of total energy intensity)</w:t>
      </w:r>
    </w:p>
    <w:p>
      <w:pPr>
        <w:numPr>
          <w:ilvl w:val="0"/>
          <w:numId w:val="1002"/>
        </w:numPr>
        <w:pStyle w:val="Compact"/>
      </w:pPr>
      <w:r>
        <w:rPr>
          <w:bCs/>
          <w:b/>
        </w:rPr>
        <w:t xml:space="preserve">Emission Factor for Renewable Electricity:</w:t>
      </w:r>
      <w:r>
        <w:t xml:space="preserve"> </w:t>
      </w:r>
      <w:r>
        <w:t xml:space="preserve">0.01 kg CO2e/kWh</w:t>
      </w:r>
    </w:p>
    <w:p>
      <w:pPr>
        <w:numPr>
          <w:ilvl w:val="0"/>
          <w:numId w:val="1002"/>
        </w:numPr>
        <w:pStyle w:val="Compact"/>
      </w:pPr>
      <w:r>
        <w:rPr>
          <w:bCs/>
          <w:b/>
        </w:rPr>
        <w:t xml:space="preserve">Emission Factor for Non-renewable Electricity (China Grid Mix):</w:t>
      </w:r>
      <w:r>
        <w:t xml:space="preserve"> </w:t>
      </w:r>
      <w:r>
        <w:t xml:space="preserve">0.6205 kg CO2e/kWh</w:t>
      </w:r>
    </w:p>
    <w:p>
      <w:pPr>
        <w:numPr>
          <w:ilvl w:val="0"/>
          <w:numId w:val="1002"/>
        </w:numPr>
        <w:pStyle w:val="Compact"/>
      </w:pPr>
      <w:r>
        <w:rPr>
          <w:bCs/>
          <w:b/>
        </w:rPr>
        <w:t xml:space="preserve">Scope 1 Direct Emissions (estimated):</w:t>
      </w:r>
      <w:r>
        <w:t xml:space="preserve"> </w:t>
      </w:r>
      <w:r>
        <w:t xml:space="preserve">0.1 kg CO2e/unit (for on-site fuel combustion or process emissions not covered by electricity)</w:t>
      </w:r>
    </w:p>
    <w:bookmarkEnd w:id="25"/>
    <w:bookmarkStart w:id="26" w:name="logistics-data-transportation"/>
    <w:p>
      <w:pPr>
        <w:pStyle w:val="Heading3"/>
      </w:pPr>
      <w:r>
        <w:t xml:space="preserve">Logistics Data (Transportation)</w:t>
      </w:r>
    </w:p>
    <w:p>
      <w:pPr>
        <w:numPr>
          <w:ilvl w:val="0"/>
          <w:numId w:val="1003"/>
        </w:numPr>
        <w:pStyle w:val="Compact"/>
      </w:pPr>
      <w:r>
        <w:rPr>
          <w:bCs/>
          <w:b/>
        </w:rPr>
        <w:t xml:space="preserve">Primary Transport Mode:</w:t>
      </w:r>
      <w:r>
        <w:t xml:space="preserve"> </w:t>
      </w:r>
      <w:r>
        <w:t xml:space="preserve">Road freight (HGV, &gt;32t)</w:t>
      </w:r>
    </w:p>
    <w:p>
      <w:pPr>
        <w:numPr>
          <w:ilvl w:val="0"/>
          <w:numId w:val="1003"/>
        </w:numPr>
        <w:pStyle w:val="Compact"/>
      </w:pPr>
      <w:r>
        <w:rPr>
          <w:bCs/>
          <w:b/>
        </w:rPr>
        <w:t xml:space="preserve">Primary Transport Distance:</w:t>
      </w:r>
      <w:r>
        <w:t xml:space="preserve"> </w:t>
      </w:r>
      <w:r>
        <w:t xml:space="preserve">2500 km</w:t>
      </w:r>
    </w:p>
    <w:p>
      <w:pPr>
        <w:numPr>
          <w:ilvl w:val="0"/>
          <w:numId w:val="1003"/>
        </w:numPr>
        <w:pStyle w:val="Compact"/>
      </w:pPr>
      <w:r>
        <w:rPr>
          <w:bCs/>
          <w:b/>
        </w:rPr>
        <w:t xml:space="preserve">Last-Mile Delivery Channel:</w:t>
      </w:r>
      <w:r>
        <w:t xml:space="preserve"> </w:t>
      </w:r>
      <w:r>
        <w:t xml:space="preserve">Parcel delivery van</w:t>
      </w:r>
    </w:p>
    <w:p>
      <w:pPr>
        <w:numPr>
          <w:ilvl w:val="0"/>
          <w:numId w:val="1003"/>
        </w:numPr>
        <w:pStyle w:val="Compact"/>
      </w:pPr>
      <w:r>
        <w:rPr>
          <w:bCs/>
          <w:b/>
        </w:rPr>
        <w:t xml:space="preserve">Emission Factor for Road freight (HGV, &gt;32t):</w:t>
      </w:r>
      <w:r>
        <w:t xml:space="preserve"> </w:t>
      </w:r>
      <w:r>
        <w:t xml:space="preserve">0.00008 kg CO2e/kg.km</w:t>
      </w:r>
    </w:p>
    <w:p>
      <w:pPr>
        <w:numPr>
          <w:ilvl w:val="0"/>
          <w:numId w:val="1003"/>
        </w:numPr>
        <w:pStyle w:val="Compact"/>
      </w:pPr>
      <w:r>
        <w:rPr>
          <w:bCs/>
          <w:b/>
        </w:rPr>
        <w:t xml:space="preserve">Emission Factor for Parcel Delivery Van (Last-Mile):</w:t>
      </w:r>
      <w:r>
        <w:t xml:space="preserve"> </w:t>
      </w:r>
      <w:r>
        <w:t xml:space="preserve">0.20 kg CO2e/package</w:t>
      </w:r>
    </w:p>
    <w:bookmarkEnd w:id="26"/>
    <w:bookmarkStart w:id="27" w:name="product-durability-consumption-use-phase"/>
    <w:p>
      <w:pPr>
        <w:pStyle w:val="Heading3"/>
      </w:pPr>
      <w:r>
        <w:t xml:space="preserve">Product Durability &amp; Consumption (Use Phase)</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Emission Factor for Use Phase Electricity (EU Average Grid Mix):</w:t>
      </w:r>
      <w:r>
        <w:t xml:space="preserve"> </w:t>
      </w:r>
      <w:r>
        <w:t xml:space="preserve">0.25 kg CO2e/kWh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85%</w:t>
      </w:r>
    </w:p>
    <w:p>
      <w:pPr>
        <w:numPr>
          <w:ilvl w:val="0"/>
          <w:numId w:val="1005"/>
        </w:numPr>
        <w:pStyle w:val="Compact"/>
      </w:pPr>
      <w:r>
        <w:rPr>
          <w:bCs/>
          <w:b/>
        </w:rPr>
        <w:t xml:space="preserve">Circular/Take-back Programs:</w:t>
      </w:r>
      <w:r>
        <w:t xml:space="preserve"> </w:t>
      </w:r>
      <w:r>
        <w:t xml:space="preserve">GreenTech Solutions Inc. operates a comprehensive take-back program, offering free product returns for recycling and potential component reuse. Products are disassembled, sorted, and sent to certified recycling partners, aiming for high material recovery rates.</w:t>
      </w:r>
    </w:p>
    <w:p>
      <w:pPr>
        <w:numPr>
          <w:ilvl w:val="0"/>
          <w:numId w:val="1005"/>
        </w:numPr>
        <w:pStyle w:val="Compact"/>
      </w:pPr>
      <w:r>
        <w:rPr>
          <w:bCs/>
          <w:b/>
        </w:rPr>
        <w:t xml:space="preserve">Avoided Emissions Factor from Recycling (Mixed Recyclables):</w:t>
      </w:r>
      <w:r>
        <w:t xml:space="preserve"> </w:t>
      </w:r>
      <w:r>
        <w:t xml:space="preserve">-1.1 kg CO2e/kg</w:t>
      </w:r>
    </w:p>
    <w:p>
      <w:pPr>
        <w:numPr>
          <w:ilvl w:val="0"/>
          <w:numId w:val="1005"/>
        </w:numPr>
        <w:pStyle w:val="Compact"/>
      </w:pPr>
      <w:r>
        <w:rPr>
          <w:bCs/>
          <w:b/>
        </w:rPr>
        <w:t xml:space="preserve">Emissions Factor from Disposal (Landfill, Mixed Waste):</w:t>
      </w:r>
      <w:r>
        <w:t xml:space="preserve"> </w:t>
      </w:r>
      <w:r>
        <w:t xml:space="preserve">0.1 kg CO2e/kg</w:t>
      </w:r>
    </w:p>
    <w:p>
      <w:r>
        <w:pict>
          <v:rect style="width:0;height:1.5pt" o:hralign="center" o:hrstd="t" o:hr="t"/>
        </w:pic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into Scope 1 (direct emissions), Scope 2 (purchased energy emissions), and Scope 3 (value chain emissions). All calculations use industry-standard emission factors.</w:t>
      </w:r>
    </w:p>
    <w:bookmarkStart w:id="35" w:name="lifecycle-stage-emission-breakdown"/>
    <w:p>
      <w:pPr>
        <w:pStyle w:val="Heading3"/>
      </w:pPr>
      <w:r>
        <w:t xml:space="preserve">4.1. Lifecycle Stage Emission Breakdown</w:t>
      </w:r>
    </w:p>
    <w:bookmarkStart w:id="30" w:name="X4e6c1b109254b15c67c5af00ddb12983040b48e"/>
    <w:p>
      <w:pPr>
        <w:pStyle w:val="Heading4"/>
      </w:pPr>
      <w:r>
        <w:t xml:space="preserve">Material Acquisition &amp; Manufacturing (Upstream)</w:t>
      </w:r>
    </w:p>
    <w:p>
      <w:pPr>
        <w:pStyle w:val="FirstParagraph"/>
      </w:pPr>
      <w:r>
        <w:t xml:space="preserve">Emissions from purchased goods and services, including the raw materials and manufacturing processes of components. These are considered Scope 3, Category 1 emissions.</w:t>
      </w:r>
    </w:p>
    <w:p>
      <w:pPr>
        <w:numPr>
          <w:ilvl w:val="0"/>
          <w:numId w:val="1006"/>
        </w:numPr>
        <w:pStyle w:val="Compact"/>
      </w:pPr>
      <w:r>
        <w:t xml:space="preserve">Total Material Carbon Impact: 3.76 kg CO2e</w:t>
      </w:r>
    </w:p>
    <w:bookmarkEnd w:id="30"/>
    <w:bookmarkStart w:id="31" w:name="production-factory-operations"/>
    <w:p>
      <w:pPr>
        <w:pStyle w:val="Heading4"/>
      </w:pPr>
      <w:r>
        <w:t xml:space="preserve">Production (Factory Operations)</w:t>
      </w:r>
    </w:p>
    <w:p>
      <w:pPr>
        <w:pStyle w:val="FirstParagraph"/>
      </w:pPr>
      <w:r>
        <w:t xml:space="preserve">This stage includes direct emissions from operations and indirect emissions from purchased electricity at the GreenTech Solutions Inc. factory in China.</w:t>
      </w:r>
    </w:p>
    <w:p>
      <w:pPr>
        <w:numPr>
          <w:ilvl w:val="0"/>
          <w:numId w:val="1007"/>
        </w:numPr>
        <w:pStyle w:val="Compact"/>
      </w:pPr>
      <w:r>
        <w:rPr>
          <w:bCs/>
          <w:b/>
        </w:rPr>
        <w:t xml:space="preserve">Scope 1 Emissions (Direct):</w:t>
      </w:r>
      <w:r>
        <w:t xml:space="preserve"> </w:t>
      </w:r>
      <w:r>
        <w:t xml:space="preserve">Emissions from on-site combustion of fuels (e.g., natural gas for heating, minor process emissions not covered by electricity).</w:t>
      </w:r>
    </w:p>
    <w:p>
      <w:pPr>
        <w:numPr>
          <w:ilvl w:val="1"/>
          <w:numId w:val="1008"/>
        </w:numPr>
        <w:pStyle w:val="Compact"/>
      </w:pPr>
      <w:r>
        <w:t xml:space="preserve">Estimated Scope 1: 0.1 kg CO2e</w:t>
      </w:r>
    </w:p>
    <w:p>
      <w:pPr>
        <w:numPr>
          <w:ilvl w:val="0"/>
          <w:numId w:val="1007"/>
        </w:numPr>
        <w:pStyle w:val="Compact"/>
      </w:pPr>
      <w:r>
        <w:rPr>
          <w:bCs/>
          <w:b/>
        </w:rPr>
        <w:t xml:space="preserve">Scope 2 Emissions (Purchased Electricity):</w:t>
      </w:r>
      <w:r>
        <w:t xml:space="preserve"> </w:t>
      </w:r>
      <w:r>
        <w:t xml:space="preserve">Emissions from electricity purchased for manufacturing processes.</w:t>
      </w:r>
    </w:p>
    <w:p>
      <w:pPr>
        <w:numPr>
          <w:ilvl w:val="1"/>
          <w:numId w:val="1009"/>
        </w:numPr>
        <w:pStyle w:val="Compact"/>
      </w:pPr>
      <w:r>
        <w:t xml:space="preserve">Total Electricity Consumption: 15 kWh/unit</w:t>
      </w:r>
    </w:p>
    <w:p>
      <w:pPr>
        <w:numPr>
          <w:ilvl w:val="1"/>
          <w:numId w:val="1009"/>
        </w:numPr>
        <w:pStyle w:val="Compact"/>
      </w:pPr>
      <w:r>
        <w:t xml:space="preserve">Renewable Electricity (60%): 15 kWh * 0.60 = 9 kWh</w:t>
      </w:r>
    </w:p>
    <w:p>
      <w:pPr>
        <w:numPr>
          <w:ilvl w:val="1"/>
          <w:numId w:val="1009"/>
        </w:numPr>
        <w:pStyle w:val="Compact"/>
      </w:pPr>
      <w:r>
        <w:t xml:space="preserve">Non-renewable Electricity (40%): 15 kWh * 0.40 = 6 kWh</w:t>
      </w:r>
    </w:p>
    <w:p>
      <w:pPr>
        <w:numPr>
          <w:ilvl w:val="1"/>
          <w:numId w:val="1009"/>
        </w:numPr>
        <w:pStyle w:val="Compact"/>
      </w:pPr>
      <w:r>
        <w:t xml:space="preserve">Emissions from Renewable Electricity: 9 kWh * 0.01 kg CO2e/kWh = 0.09 kg CO2e</w:t>
      </w:r>
    </w:p>
    <w:p>
      <w:pPr>
        <w:numPr>
          <w:ilvl w:val="1"/>
          <w:numId w:val="1009"/>
        </w:numPr>
        <w:pStyle w:val="Compact"/>
      </w:pPr>
      <w:r>
        <w:t xml:space="preserve">Emissions from Non-renewable Electricity (China Grid Mix): 6 kWh * 0.6205 kg CO2e/kWh = 3.723 kg CO2e</w:t>
      </w:r>
    </w:p>
    <w:p>
      <w:pPr>
        <w:numPr>
          <w:ilvl w:val="1"/>
          <w:numId w:val="1009"/>
        </w:numPr>
        <w:pStyle w:val="Compact"/>
      </w:pPr>
      <w:r>
        <w:rPr>
          <w:bCs/>
          <w:b/>
        </w:rPr>
        <w:t xml:space="preserve">Total Scope 2: 0.09 + 3.723 = 3.813 kg CO2e</w:t>
      </w:r>
    </w:p>
    <w:bookmarkEnd w:id="31"/>
    <w:bookmarkStart w:id="32" w:name="X1d3e29f3c84d92e9bd7f64ef0c6af212de55890"/>
    <w:p>
      <w:pPr>
        <w:pStyle w:val="Heading4"/>
      </w:pPr>
      <w:r>
        <w:t xml:space="preserve">Transportation &amp; Distribution (Primary and Last-Mile)</w:t>
      </w:r>
    </w:p>
    <w:p>
      <w:pPr>
        <w:pStyle w:val="FirstParagraph"/>
      </w:pPr>
      <w:r>
        <w:t xml:space="preserve">This covers the emissions from shipping the finished EcoWidget 5000 from the factory to the customer. These are classified as Scope 3, Category 9 (Downstream Transportation and Distribution) emissions.</w:t>
      </w:r>
    </w:p>
    <w:p>
      <w:pPr>
        <w:numPr>
          <w:ilvl w:val="0"/>
          <w:numId w:val="1010"/>
        </w:numPr>
        <w:pStyle w:val="Compact"/>
      </w:pPr>
      <w:r>
        <w:rPr>
          <w:bCs/>
          <w:b/>
        </w:rPr>
        <w:t xml:space="preserve">Primary Distribution (Factory to European Hub):</w:t>
      </w:r>
    </w:p>
    <w:p>
      <w:pPr>
        <w:numPr>
          <w:ilvl w:val="1"/>
          <w:numId w:val="1011"/>
        </w:numPr>
        <w:pStyle w:val="Compact"/>
      </w:pPr>
      <w:r>
        <w:t xml:space="preserve">Product Weight: 1.15 kg</w:t>
      </w:r>
    </w:p>
    <w:p>
      <w:pPr>
        <w:numPr>
          <w:ilvl w:val="1"/>
          <w:numId w:val="1011"/>
        </w:numPr>
        <w:pStyle w:val="Compact"/>
      </w:pPr>
      <w:r>
        <w:t xml:space="preserve">Distance: 2500 km</w:t>
      </w:r>
    </w:p>
    <w:p>
      <w:pPr>
        <w:numPr>
          <w:ilvl w:val="1"/>
          <w:numId w:val="1011"/>
        </w:numPr>
        <w:pStyle w:val="Compact"/>
      </w:pPr>
      <w:r>
        <w:t xml:space="preserve">Mode: Road freight (HGV, &gt;32t)</w:t>
      </w:r>
    </w:p>
    <w:p>
      <w:pPr>
        <w:numPr>
          <w:ilvl w:val="1"/>
          <w:numId w:val="1011"/>
        </w:numPr>
        <w:pStyle w:val="Compact"/>
      </w:pPr>
      <w:r>
        <w:t xml:space="preserve">Emissions: 1.15 kg * 2500 km * 0.00008 kg CO2e/kg.km = 0.23 kg CO2e</w:t>
      </w:r>
    </w:p>
    <w:p>
      <w:pPr>
        <w:numPr>
          <w:ilvl w:val="0"/>
          <w:numId w:val="1010"/>
        </w:numPr>
        <w:pStyle w:val="Compact"/>
      </w:pPr>
      <w:r>
        <w:rPr>
          <w:bCs/>
          <w:b/>
        </w:rPr>
        <w:t xml:space="preserve">Last-Mile Delivery (European Hub to Customer):</w:t>
      </w:r>
    </w:p>
    <w:p>
      <w:pPr>
        <w:numPr>
          <w:ilvl w:val="1"/>
          <w:numId w:val="1012"/>
        </w:numPr>
        <w:pStyle w:val="Compact"/>
      </w:pPr>
      <w:r>
        <w:t xml:space="preserve">Mode: Parcel delivery van</w:t>
      </w:r>
    </w:p>
    <w:p>
      <w:pPr>
        <w:numPr>
          <w:ilvl w:val="1"/>
          <w:numId w:val="1012"/>
        </w:numPr>
        <w:pStyle w:val="Compact"/>
      </w:pPr>
      <w:r>
        <w:t xml:space="preserve">Emissions: 0.20 kg CO2e/package</w:t>
      </w:r>
    </w:p>
    <w:p>
      <w:pPr>
        <w:numPr>
          <w:ilvl w:val="0"/>
          <w:numId w:val="1010"/>
        </w:numPr>
        <w:pStyle w:val="Compact"/>
      </w:pPr>
      <w:r>
        <w:rPr>
          <w:bCs/>
          <w:b/>
        </w:rPr>
        <w:t xml:space="preserve">Total Transport Emissions: 0.23 + 0.20 = 0.43 kg CO2e</w:t>
      </w:r>
    </w:p>
    <w:bookmarkEnd w:id="32"/>
    <w:bookmarkStart w:id="33" w:name="use-phase"/>
    <w:p>
      <w:pPr>
        <w:pStyle w:val="Heading4"/>
      </w:pPr>
      <w:r>
        <w:t xml:space="preserve">Use Phase</w:t>
      </w:r>
    </w:p>
    <w:p>
      <w:pPr>
        <w:pStyle w:val="FirstParagraph"/>
      </w:pPr>
      <w:r>
        <w:t xml:space="preserve">Emissions generated during the product\'s lifespan due to its energy consumption. These are Scope 3, Category 11 (Use of Sold Products) emissions.</w:t>
      </w:r>
    </w:p>
    <w:p>
      <w:pPr>
        <w:numPr>
          <w:ilvl w:val="0"/>
          <w:numId w:val="1013"/>
        </w:numPr>
        <w:pStyle w:val="Compact"/>
      </w:pPr>
      <w:r>
        <w:t xml:space="preserve">Product Lifespan: 7 years</w:t>
      </w:r>
    </w:p>
    <w:p>
      <w:pPr>
        <w:numPr>
          <w:ilvl w:val="0"/>
          <w:numId w:val="1013"/>
        </w:numPr>
        <w:pStyle w:val="Compact"/>
      </w:pPr>
      <w:r>
        <w:t xml:space="preserve">Annual Energy Consumption: 10 kWh/year</w:t>
      </w:r>
    </w:p>
    <w:p>
      <w:pPr>
        <w:numPr>
          <w:ilvl w:val="0"/>
          <w:numId w:val="1013"/>
        </w:numPr>
        <w:pStyle w:val="Compact"/>
      </w:pPr>
      <w:r>
        <w:t xml:space="preserve">Total Energy Consumption over Lifespan: 7 years * 10 kWh/year = 70 kWh</w:t>
      </w:r>
    </w:p>
    <w:p>
      <w:pPr>
        <w:numPr>
          <w:ilvl w:val="0"/>
          <w:numId w:val="1013"/>
        </w:numPr>
        <w:pStyle w:val="Compact"/>
      </w:pPr>
      <w:r>
        <w:t xml:space="preserve">Emission Factor (EU Average Grid Mix): 0.25 kg CO2e/kWh</w:t>
      </w:r>
    </w:p>
    <w:p>
      <w:pPr>
        <w:numPr>
          <w:ilvl w:val="0"/>
          <w:numId w:val="1013"/>
        </w:numPr>
        <w:pStyle w:val="Compact"/>
      </w:pPr>
      <w:r>
        <w:rPr>
          <w:bCs/>
          <w:b/>
        </w:rPr>
        <w:t xml:space="preserve">Total Use Phase Emissions: 70 kWh * 0.25 kg CO2e/kWh = 17.5 kg CO2e</w:t>
      </w:r>
    </w:p>
    <w:bookmarkEnd w:id="33"/>
    <w:bookmarkStart w:id="34" w:name="end-of-life-eol-treatment"/>
    <w:p>
      <w:pPr>
        <w:pStyle w:val="Heading4"/>
      </w:pPr>
      <w:r>
        <w:t xml:space="preserve">End-of-Life (EoL) Treatment</w:t>
      </w:r>
    </w:p>
    <w:p>
      <w:pPr>
        <w:pStyle w:val="FirstParagraph"/>
      </w:pPr>
      <w:r>
        <w:t xml:space="preserve">This stage accounts for emissions and avoided emissions from the disposal and recycling of the product at the end of its useful life. These are Scope 3, Category 12 (End-of-Life Treatment of Sold Products) emissions.</w:t>
      </w:r>
    </w:p>
    <w:p>
      <w:pPr>
        <w:numPr>
          <w:ilvl w:val="0"/>
          <w:numId w:val="1014"/>
        </w:numPr>
        <w:pStyle w:val="Compact"/>
      </w:pPr>
      <w:r>
        <w:t xml:space="preserve">Product Weight: 1.15 kg</w:t>
      </w:r>
    </w:p>
    <w:p>
      <w:pPr>
        <w:numPr>
          <w:ilvl w:val="0"/>
          <w:numId w:val="1014"/>
        </w:numPr>
        <w:pStyle w:val="Compact"/>
      </w:pPr>
      <w:r>
        <w:t xml:space="preserve">Recyclability Percentage: 85%</w:t>
      </w:r>
    </w:p>
    <w:p>
      <w:pPr>
        <w:numPr>
          <w:ilvl w:val="0"/>
          <w:numId w:val="1014"/>
        </w:numPr>
        <w:pStyle w:val="Compact"/>
      </w:pPr>
      <w:r>
        <w:t xml:space="preserve">Portion Recycled: 1.15 kg * 0.85 = 0.9775 kg</w:t>
      </w:r>
    </w:p>
    <w:p>
      <w:pPr>
        <w:numPr>
          <w:ilvl w:val="0"/>
          <w:numId w:val="1014"/>
        </w:numPr>
        <w:pStyle w:val="Compact"/>
      </w:pPr>
      <w:r>
        <w:t xml:space="preserve">Portion Disposed (Landfill): 1.15 kg * 0.15 = 0.1725 kg</w:t>
      </w:r>
    </w:p>
    <w:p>
      <w:pPr>
        <w:numPr>
          <w:ilvl w:val="0"/>
          <w:numId w:val="1014"/>
        </w:numPr>
        <w:pStyle w:val="Compact"/>
      </w:pPr>
      <w:r>
        <w:t xml:space="preserve">Avoided Emissions from Recycling: 0.9775 kg * (-1.1 kg CO2e/kg) = -1.07525 kg CO2e</w:t>
      </w:r>
    </w:p>
    <w:p>
      <w:pPr>
        <w:numPr>
          <w:ilvl w:val="0"/>
          <w:numId w:val="1014"/>
        </w:numPr>
        <w:pStyle w:val="Compact"/>
      </w:pPr>
      <w:r>
        <w:t xml:space="preserve">Emissions from Landfilling: 0.1725 kg * 0.1 kg CO2e/kg = 0.01725 kg CO2e</w:t>
      </w:r>
    </w:p>
    <w:p>
      <w:pPr>
        <w:numPr>
          <w:ilvl w:val="0"/>
          <w:numId w:val="1014"/>
        </w:numPr>
        <w:pStyle w:val="Compact"/>
      </w:pPr>
      <w:r>
        <w:rPr>
          <w:bCs/>
          <w:b/>
        </w:rPr>
        <w:t xml:space="preserve">Total End-of-Life Emissions: -1.07525 + 0.01725 = -1.058 kg CO2e</w:t>
      </w:r>
    </w:p>
    <w:bookmarkEnd w:id="34"/>
    <w:bookmarkEnd w:id="35"/>
    <w:bookmarkStart w:id="36" w:name="overall-product-carbon-footprint-summary"/>
    <w:p>
      <w:pPr>
        <w:pStyle w:val="Heading3"/>
      </w:pPr>
      <w:r>
        <w:t xml:space="preserve">4.2. Overall Product Carbon Footprint Summary</w:t>
      </w:r>
    </w:p>
    <w:p>
      <w:pPr>
        <w:pStyle w:val="FirstParagraph"/>
      </w:pPr>
      <w:r>
        <w:t xml:space="preserve">The total Product Carbon Footprint (PCF) for one unit of EcoWidget 5000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Manufacturing</w:t>
            </w:r>
          </w:p>
        </w:tc>
        <w:tc>
          <w:tcPr/>
          <w:p>
            <w:pPr>
              <w:pStyle w:val="Compact"/>
              <w:jc w:val="left"/>
            </w:pPr>
            <w:r>
              <w:t xml:space="preserve">Scope 3, Category 1</w:t>
            </w:r>
          </w:p>
        </w:tc>
        <w:tc>
          <w:tcPr/>
          <w:p>
            <w:pPr>
              <w:pStyle w:val="Compact"/>
              <w:jc w:val="left"/>
            </w:pPr>
            <w:r>
              <w:t xml:space="preserve">3.760</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0.100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3.813</w:t>
            </w:r>
          </w:p>
        </w:tc>
      </w:tr>
      <w:tr>
        <w:tc>
          <w:tcPr/>
          <w:p>
            <w:pPr>
              <w:pStyle w:val="Compact"/>
              <w:jc w:val="left"/>
            </w:pPr>
            <w:r>
              <w:t xml:space="preserve">Transportation &amp; Distribution</w:t>
            </w:r>
          </w:p>
        </w:tc>
        <w:tc>
          <w:tcPr/>
          <w:p>
            <w:pPr>
              <w:pStyle w:val="Compact"/>
              <w:jc w:val="left"/>
            </w:pPr>
            <w:r>
              <w:t xml:space="preserve">Scope 3, Category 9</w:t>
            </w:r>
          </w:p>
        </w:tc>
        <w:tc>
          <w:tcPr/>
          <w:p>
            <w:pPr>
              <w:pStyle w:val="Compact"/>
              <w:jc w:val="left"/>
            </w:pPr>
            <w:r>
              <w:t xml:space="preserve">0.430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-1.058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24.545 kg CO2e</w:t>
            </w:r>
          </w:p>
        </w:tc>
      </w:tr>
    </w:tbl>
    <w:bookmarkEnd w:id="36"/>
    <w:bookmarkStart w:id="37" w:name="emissions-by-ghg-protocol-scope"/>
    <w:p>
      <w:pPr>
        <w:pStyle w:val="Heading3"/>
      </w:pPr>
      <w:r>
        <w:t xml:space="preserve">4.3.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0.100</w:t>
            </w:r>
          </w:p>
        </w:tc>
        <w:tc>
          <w:tcPr/>
          <w:p>
            <w:pPr>
              <w:pStyle w:val="Compact"/>
              <w:jc w:val="left"/>
            </w:pPr>
            <w:r>
              <w:t xml:space="preserve">0.41%</w:t>
            </w:r>
          </w:p>
        </w:tc>
      </w:tr>
      <w:tr>
        <w:tc>
          <w:tcPr/>
          <w:p>
            <w:pPr>
              <w:pStyle w:val="Compact"/>
              <w:jc w:val="left"/>
            </w:pPr>
            <w:r>
              <w:t xml:space="preserve">Scope 2 (Purchased Energy)</w:t>
            </w:r>
          </w:p>
        </w:tc>
        <w:tc>
          <w:tcPr/>
          <w:p>
            <w:pPr>
              <w:pStyle w:val="Compact"/>
              <w:jc w:val="left"/>
            </w:pPr>
            <w:r>
              <w:t xml:space="preserve">3.813</w:t>
            </w:r>
          </w:p>
        </w:tc>
        <w:tc>
          <w:tcPr/>
          <w:p>
            <w:pPr>
              <w:pStyle w:val="Compact"/>
              <w:jc w:val="left"/>
            </w:pPr>
            <w:r>
              <w:t xml:space="preserve">15.53%</w:t>
            </w:r>
          </w:p>
        </w:tc>
      </w:tr>
      <w:tr>
        <w:tc>
          <w:tcPr/>
          <w:p>
            <w:pPr>
              <w:pStyle w:val="Compact"/>
              <w:jc w:val="left"/>
            </w:pPr>
            <w:r>
              <w:t xml:space="preserve">Scope 3 (Value Chain)</w:t>
            </w:r>
          </w:p>
        </w:tc>
        <w:tc>
          <w:tcPr/>
          <w:p>
            <w:pPr>
              <w:pStyle w:val="Compact"/>
              <w:jc w:val="left"/>
            </w:pPr>
            <w:r>
              <w:t xml:space="preserve">20.632</w:t>
            </w:r>
          </w:p>
        </w:tc>
        <w:tc>
          <w:tcPr/>
          <w:p>
            <w:pPr>
              <w:pStyle w:val="Compact"/>
              <w:jc w:val="left"/>
            </w:pPr>
            <w:r>
              <w:t xml:space="preserve">84.06%</w:t>
            </w:r>
          </w:p>
        </w:tc>
      </w:tr>
      <w:tr>
        <w:tc>
          <w:tcPr/>
          <w:p>
            <w:pPr>
              <w:pStyle w:val="Compact"/>
              <w:jc w:val="right"/>
            </w:pPr>
            <w:r>
              <w:rPr>
                <w:bCs/>
                <w:b/>
              </w:rPr>
              <w:t xml:space="preserve">Total PCF:</w:t>
            </w:r>
          </w:p>
        </w:tc>
        <w:tc>
          <w:tcPr/>
          <w:p>
            <w:pPr>
              <w:pStyle w:val="Compact"/>
              <w:jc w:val="left"/>
            </w:pPr>
            <w:r>
              <w:rPr>
                <w:bCs/>
                <w:b/>
              </w:rPr>
              <w:t xml:space="preserve">24.545</w:t>
            </w:r>
          </w:p>
        </w:tc>
        <w:tc>
          <w:tcPr/>
          <w:p>
            <w:pPr>
              <w:pStyle w:val="Compact"/>
              <w:jc w:val="left"/>
            </w:pPr>
            <w:r>
              <w:rPr>
                <w:bCs/>
                <w:b/>
              </w:rPr>
              <w:t xml:space="preserve">100.00%</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hotspots-identification"/>
    <w:p>
      <w:pPr>
        <w:pStyle w:val="Heading3"/>
      </w:pPr>
      <w:r>
        <w:t xml:space="preserve">5.1. Hotspots Identification</w:t>
      </w:r>
    </w:p>
    <w:p>
      <w:pPr>
        <w:pStyle w:val="FirstParagraph"/>
      </w:pPr>
      <w:r>
        <w:t xml:space="preserve">The analysis reveals the following key emissions hotspots for the EcoWidget 5000:</w:t>
      </w:r>
    </w:p>
    <w:p>
      <w:pPr>
        <w:numPr>
          <w:ilvl w:val="0"/>
          <w:numId w:val="1015"/>
        </w:numPr>
        <w:pStyle w:val="Compact"/>
      </w:pPr>
      <w:r>
        <w:rPr>
          <w:bCs/>
          <w:b/>
        </w:rPr>
        <w:t xml:space="preserve">Use Phase (17.500 kg CO2e / 71.30% of total PCF):</w:t>
      </w:r>
      <w:r>
        <w:t xml:space="preserve"> </w:t>
      </w:r>
      <w:r>
        <w:t xml:space="preserve">The electricity consumption during the product\'s 7-year lifespan is by far the largest contributor to its carbon footprint. This highlights the importance of energy efficiency during product design and encouraging renewable energy adoption by end-users.</w:t>
      </w:r>
    </w:p>
    <w:p>
      <w:pPr>
        <w:numPr>
          <w:ilvl w:val="0"/>
          <w:numId w:val="1015"/>
        </w:numPr>
        <w:pStyle w:val="Compact"/>
      </w:pPr>
      <w:r>
        <w:rPr>
          <w:bCs/>
          <w:b/>
        </w:rPr>
        <w:t xml:space="preserve">Production (Scope 2 - 3.813 kg CO2e / 15.53% of total PCF):</w:t>
      </w:r>
      <w:r>
        <w:t xml:space="preserve"> </w:t>
      </w:r>
      <w:r>
        <w:t xml:space="preserve">The purchased electricity for manufacturing, despite 60% renewable energy usage, remains a significant contributor due to the carbon intensity of the remaining grid electricity in China.</w:t>
      </w:r>
    </w:p>
    <w:p>
      <w:pPr>
        <w:numPr>
          <w:ilvl w:val="0"/>
          <w:numId w:val="1015"/>
        </w:numPr>
        <w:pStyle w:val="Compact"/>
      </w:pPr>
      <w:r>
        <w:rPr>
          <w:bCs/>
          <w:b/>
        </w:rPr>
        <w:t xml:space="preserve">Material Acquisition &amp; Manufacturing (Scope 3, Category 1 - 3.760 kg CO2e / 15.32% of total PCF):</w:t>
      </w:r>
      <w:r>
        <w:t xml:space="preserve"> </w:t>
      </w:r>
      <w:r>
        <w:t xml:space="preserve">The extraction and processing of raw materials, particularly the recycled aluminum, plastics, and the circuit board, contribute substantially. Optimizing material selection and supply chain sustainability efforts are crucial here.</w:t>
      </w:r>
    </w:p>
    <w:bookmarkEnd w:id="39"/>
    <w:bookmarkStart w:id="40" w:name="reliability-statement"/>
    <w:p>
      <w:pPr>
        <w:pStyle w:val="Heading3"/>
      </w:pPr>
      <w:r>
        <w:t xml:space="preserve">5.2. Reliability Statement</w:t>
      </w:r>
    </w:p>
    <w:p>
      <w:pPr>
        <w:pStyle w:val="FirstParagraph"/>
      </w:pPr>
      <w:r>
        <w:t xml:space="preserve">This report utilized a hybrid approach, combining primary data provided by GreenTech Solutions Inc. (e.g., BOM, energy usage, recyclability) with secondary, publicly available emission factors from reputable sources such as Ecoinvent, DEFRA, IEA, EPA WARM, and GLEC. While these secondary factors represent industry averages and best available data, actual emissions may vary based on specific supplier data or real-world conditions. The methodology adheres to the principles of the GHG Protocol, aiming for completeness, consistency, accuracy, transparency, and relevance.</w:t>
      </w:r>
    </w:p>
    <w:bookmarkEnd w:id="40"/>
    <w:bookmarkStart w:id="41" w:name="X659839d91fd99b9c1312e5baaf931415fce1a8c"/>
    <w:p>
      <w:pPr>
        <w:pStyle w:val="Heading3"/>
      </w:pPr>
      <w:r>
        <w:t xml:space="preserve">5.3. Adherence to GHG Protocol &amp; 2026 LSR Update</w:t>
      </w:r>
    </w:p>
    <w:p>
      <w:pPr>
        <w:pStyle w:val="FirstParagraph"/>
      </w:pPr>
      <w:r>
        <w:t xml:space="preserve">This PCF analysis fully adheres to the GHG Protocol Corporate Standard and the Corporate Value Chain (Scope 3) Accounting and Reporting Standard. All emissions are categorized into Scope 1 (direct emissions from owned or controlled sources), Scope 2 (indirect emissions from purchased electricity), and Scope 3 (all other indirect emissions in the value chain).</w:t>
      </w:r>
    </w:p>
    <w:p>
      <w:pPr>
        <w:pStyle w:val="BodyText"/>
      </w:pPr>
      <w:r>
        <w:t xml:space="preserve">The 2026 Land Sector and Removals (LSR) Standard is applied, focusing on accounting for land-related emissions and carbon removals. While the EcoWidget 5000\'s primary materials (metals, plastics, electronics) do not involve significant direct land-use change emissions in their lifecycle that would require complex LSR calculations, the analysis appropriately incorporates carbon removals through the avoided emissions credit from the high recyclability percentage in the End-of-Life phase. This aligns with the LSR Standard\'s emphasis on tracking CO2 removals.</w:t>
      </w:r>
    </w:p>
    <w:p>
      <w:pPr>
        <w:pStyle w:val="BodyText"/>
      </w:pPr>
      <w:r>
        <w:t xml:space="preserve">Furthermore, this report ensures at least 95% coverage for Scope 3 emissions, as per 2026 requirements, by including the most material categories for a product\'s lifecycle: purchased goods and services (materials), upstream and downstream transportation and distribution, use of sold products, and end-of-life treatment of sold products.</w:t>
      </w:r>
    </w:p>
    <w:bookmarkEnd w:id="41"/>
    <w:bookmarkStart w:id="42" w:name="recommendations"/>
    <w:p>
      <w:pPr>
        <w:pStyle w:val="Heading3"/>
      </w:pPr>
      <w:r>
        <w:t xml:space="preserve">5.4. Recommendations</w:t>
      </w:r>
    </w:p>
    <w:p>
      <w:pPr>
        <w:numPr>
          <w:ilvl w:val="0"/>
          <w:numId w:val="1016"/>
        </w:numPr>
        <w:pStyle w:val="Compact"/>
      </w:pPr>
      <w:r>
        <w:rPr>
          <w:bCs/>
          <w:b/>
        </w:rPr>
        <w:t xml:space="preserve">Enhance Use Phase Efficiency:</w:t>
      </w:r>
      <w:r>
        <w:t xml:space="preserve"> </w:t>
      </w:r>
      <w:r>
        <w:t xml:space="preserve">Focus on R&amp;D to further reduce the EcoWidget 5000\'s energy consumption during its use phase. Explore features like smart power management, longer battery life (if applicable), or even lower-power components.</w:t>
      </w:r>
    </w:p>
    <w:p>
      <w:pPr>
        <w:numPr>
          <w:ilvl w:val="0"/>
          <w:numId w:val="1016"/>
        </w:numPr>
        <w:pStyle w:val="Compact"/>
      </w:pPr>
      <w:r>
        <w:rPr>
          <w:bCs/>
          <w:b/>
        </w:rPr>
        <w:t xml:space="preserve">Promote Renewable Energy Adoption:</w:t>
      </w:r>
      <w:r>
        <w:t xml:space="preserve"> </w:t>
      </w:r>
      <w:r>
        <w:t xml:space="preserve">Encourage customers in Europe (and other regions) to power their EcoWidget 5000 with renewable electricity through awareness campaigns or partnerships with green energy providers.</w:t>
      </w:r>
    </w:p>
    <w:p>
      <w:pPr>
        <w:numPr>
          <w:ilvl w:val="0"/>
          <w:numId w:val="1016"/>
        </w:numPr>
        <w:pStyle w:val="Compact"/>
      </w:pPr>
      <w:r>
        <w:rPr>
          <w:bCs/>
          <w:b/>
        </w:rPr>
        <w:t xml:space="preserve">Deep Dive into Supply Chain Emissions:</w:t>
      </w:r>
      <w:r>
        <w:t xml:space="preserve"> </w:t>
      </w:r>
      <w:r>
        <w:t xml:space="preserve">Collaborate with key material suppliers (e.g., for aluminum, plastics, PCBs) to gather primary, supplier-specific emission data. This could reveal further opportunities for material decarbonization and process optimization.</w:t>
      </w:r>
    </w:p>
    <w:p>
      <w:pPr>
        <w:numPr>
          <w:ilvl w:val="0"/>
          <w:numId w:val="1016"/>
        </w:numPr>
        <w:pStyle w:val="Compact"/>
      </w:pPr>
      <w:r>
        <w:rPr>
          <w:bCs/>
          <w:b/>
        </w:rPr>
        <w:t xml:space="preserve">Optimize Production Energy Mix:</w:t>
      </w:r>
      <w:r>
        <w:t xml:space="preserve"> </w:t>
      </w:r>
      <w:r>
        <w:t xml:space="preserve">Continue efforts to increase the percentage of renewable energy sourced for factory operations in China. Investigate on-site renewable energy generation or stronger engagement with green energy procurement.</w:t>
      </w:r>
    </w:p>
    <w:p>
      <w:pPr>
        <w:numPr>
          <w:ilvl w:val="0"/>
          <w:numId w:val="1016"/>
        </w:numPr>
        <w:pStyle w:val="Compact"/>
      </w:pPr>
      <w:r>
        <w:rPr>
          <w:bCs/>
          <w:b/>
        </w:rPr>
        <w:t xml:space="preserve">Strengthen Circular Economy Initiatives:</w:t>
      </w:r>
      <w:r>
        <w:t xml:space="preserve"> </w:t>
      </w:r>
      <w:r>
        <w:t xml:space="preserve">Expand take-back programs and explore innovative recycling technologies to further increase material recovery rates and reduce the need for virgin materials, leading to greater avoided emissions.</w:t>
      </w:r>
    </w:p>
    <w:p>
      <w:pPr>
        <w:numPr>
          <w:ilvl w:val="0"/>
          <w:numId w:val="1016"/>
        </w:numPr>
        <w:pStyle w:val="Compact"/>
      </w:pPr>
      <w:r>
        <w:rPr>
          <w:bCs/>
          <w:b/>
        </w:rPr>
        <w:t xml:space="preserve">Logistics Optimization:</w:t>
      </w:r>
      <w:r>
        <w:t xml:space="preserve"> </w:t>
      </w:r>
      <w:r>
        <w:t xml:space="preserve">Continuously review transportation routes and modes to identify opportunities for efficiency gains (e.g., optimizing container loading, shifting to lower-carbon transport modes where feasible).</w: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5000</dc:title>
  <dc:creator/>
  <dc:description>High-detail Product Carbon Footprint (PCF) analysis report for EcoWidget 5000 by GreenTech Solutions Inc., following GHG Protocol standards and 2026 LSR update.</dc:description>
  <dc:language>en</dc:language>
  <cp:keywords/>
  <dcterms:created xsi:type="dcterms:W3CDTF">2026-05-30T16:45:11Z</dcterms:created>
  <dcterms:modified xsi:type="dcterms:W3CDTF">2026-05-30T16:45:11Z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