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3000</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zjiplvzkiv (EcoWidget 3000)</w:t>
      </w:r>
    </w:p>
    <w:p>
      <w:pPr>
        <w:pStyle w:val="BodyText"/>
      </w:pPr>
      <w:r>
        <w:rPr>
          <w:bCs/>
          <w:b/>
        </w:rPr>
        <w:t xml:space="preserve">Company Name:</w:t>
      </w:r>
      <w:r>
        <w:t xml:space="preserve"> </w:t>
      </w:r>
      <w:r>
        <w:t xml:space="preserve">jkwkreoizz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jgmhrfqqln</w:t>
      </w:r>
    </w:p>
    <w:p>
      <w:pPr>
        <w:pStyle w:val="BodyText"/>
      </w:pPr>
      <w:r>
        <w:t xml:space="preserve">This report is generated based on available data and industry standards. While every effort has been made to ensure accuracy, the results are subject to the limitations of data availability and the assumptions made herein.</w:t>
      </w:r>
    </w:p>
    <w:p>
      <w:pPr>
        <w:pStyle w:val="BodyText"/>
      </w:pPr>
      <w:r>
        <w:t xml:space="preserve">Generated Date: May 23, 2026</w:t>
      </w:r>
    </w:p>
    <w:bookmarkEnd w:id="20"/>
    <w:bookmarkStart w:id="21" w:name="X530bc8b2c8993d71c184e4a480ce6c3b3d049f5"/>
    <w:p>
      <w:pPr>
        <w:pStyle w:val="Heading1"/>
      </w:pPr>
      <w:r>
        <w:t xml:space="preserve">Product Carbon Footprint Analysis Report: zjiplvzkiv (EcoWidget 3000)</w:t>
      </w:r>
    </w:p>
    <w:p>
      <w:pPr>
        <w:pStyle w:val="FirstParagraph"/>
      </w:pPr>
      <w:r>
        <w:rPr>
          <w:bCs/>
          <w:b/>
        </w:rPr>
        <w:t xml:space="preserve">Company:</w:t>
      </w:r>
      <w:r>
        <w:t xml:space="preserve"> </w:t>
      </w:r>
      <w:r>
        <w:t xml:space="preserve">jkwkreoizz |</w:t>
      </w:r>
      <w:r>
        <w:t xml:space="preserve"> </w:t>
      </w:r>
      <w:r>
        <w:rPr>
          <w:bCs/>
          <w:b/>
        </w:rPr>
        <w:t xml:space="preserve">Consultant:</w:t>
      </w:r>
      <w:r>
        <w:t xml:space="preserve"> </w:t>
      </w:r>
      <w:r>
        <w:t xml:space="preserve">jgmhrfqqln |</w:t>
      </w:r>
      <w:r>
        <w:t xml:space="preserve"> </w:t>
      </w:r>
      <w:r>
        <w:rPr>
          <w:bCs/>
          <w:b/>
        </w:rPr>
        <w:t xml:space="preserve">Date:</w:t>
      </w:r>
      <w:r>
        <w:t xml:space="preserve"> </w:t>
      </w:r>
      <w:r>
        <w:t xml:space="preserve">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"zjiplvzkiv" (referred to as EcoWidget 3000), manufactured by jkwkreoizz. As Senior Sustainability Consultant jgmhrfqqln, this analysis adheres to the Greenhouse Gas (GHG) Protocol, including the 2026 Land Sector and Removals (LSR) Update, and aims for at least 95% coverage for Scope 3 emissions. The assessment follows a cradle-to-grave approach, encompassing all life cycle stages from raw material acquisition to end-of-life treatment, providing a comprehensive understanding of the product\'s environmental impact in terms of CO2 equivalent (CO2e) emissions per functional unit of 1.0 unit. The total Product Carbon Footprint for one unit of EcoWidget 3000 is estimated at 200.61 kgCO2e. The use phase is identified as the primary hotspot due to energy consumption over the product\'s lifespan.</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Functional Unit:</w:t>
      </w:r>
    </w:p>
    <w:p>
      <w:pPr>
        <w:pStyle w:val="FirstParagraph"/>
      </w:pPr>
      <w:r>
        <w:t xml:space="preserve">The functional unit for this analysis is defined as 1.0 unit of the zjiplvzkiv (EcoWidget 3000).</w:t>
      </w:r>
    </w:p>
    <w:bookmarkEnd w:id="23"/>
    <w:bookmarkStart w:id="24" w:name="system-boundaries"/>
    <w:p>
      <w:pPr>
        <w:pStyle w:val="Heading3"/>
      </w:pPr>
      <w:r>
        <w:t xml:space="preserve">System Boundaries:</w:t>
      </w:r>
    </w:p>
    <w:p>
      <w:pPr>
        <w:pStyle w:val="FirstParagraph"/>
      </w:pPr>
      <w:r>
        <w:t xml:space="preserve">While the stated primary system boundary is "factory_gate" for operational emissions, this analysis adopts a comprehensive "cradle-to-grave" perspective to fully capture the product\'s value chain emissions as requested by the detailed parameters (including transport, use phase, and end-of-life). This extended boundary is crucial for robust Scope 3 reporting. The analysis covers the following life cycle stages:</w:t>
      </w:r>
    </w:p>
    <w:p>
      <w:pPr>
        <w:numPr>
          <w:ilvl w:val="0"/>
          <w:numId w:val="1001"/>
        </w:numPr>
        <w:pStyle w:val="Compact"/>
      </w:pPr>
      <w:r>
        <w:t xml:space="preserve">Materials Acquisition and Pre-processing (Upstream)</w:t>
      </w:r>
    </w:p>
    <w:p>
      <w:pPr>
        <w:numPr>
          <w:ilvl w:val="0"/>
          <w:numId w:val="1001"/>
        </w:numPr>
        <w:pStyle w:val="Compact"/>
      </w:pPr>
      <w:r>
        <w:t xml:space="preserve">Manufacturing/Production (Core Operations)</w:t>
      </w:r>
    </w:p>
    <w:p>
      <w:pPr>
        <w:numPr>
          <w:ilvl w:val="0"/>
          <w:numId w:val="1001"/>
        </w:numPr>
        <w:pStyle w:val="Compact"/>
      </w:pPr>
      <w:r>
        <w:t xml:space="preserve">Transport and Distribution (Downstream)</w:t>
      </w:r>
    </w:p>
    <w:p>
      <w:pPr>
        <w:numPr>
          <w:ilvl w:val="0"/>
          <w:numId w:val="1001"/>
        </w:numPr>
        <w:pStyle w:val="Compact"/>
      </w:pPr>
      <w:r>
        <w:t xml:space="preserve">Use Phase (Downstream)</w:t>
      </w:r>
    </w:p>
    <w:p>
      <w:pPr>
        <w:numPr>
          <w:ilvl w:val="0"/>
          <w:numId w:val="1001"/>
        </w:numPr>
        <w:pStyle w:val="Compact"/>
      </w:pPr>
      <w:r>
        <w:t xml:space="preserve">End-of-Life Treatment (Downstream)</w:t>
      </w:r>
    </w:p>
    <w:bookmarkEnd w:id="24"/>
    <w:bookmarkStart w:id="25" w:name="geographic-scope"/>
    <w:p>
      <w:pPr>
        <w:pStyle w:val="Heading3"/>
      </w:pPr>
      <w:r>
        <w:t xml:space="preserve">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materials and distribution assumptions where not specified)</w:t>
      </w:r>
    </w:p>
    <w:bookmarkEnd w:id="25"/>
    <w:bookmarkStart w:id="26" w:name="accounting-standard"/>
    <w:p>
      <w:pPr>
        <w:pStyle w:val="Heading3"/>
      </w:pPr>
      <w:r>
        <w:t xml:space="preserve">Accounting Standard:</w:t>
      </w:r>
    </w:p>
    <w:p>
      <w:pPr>
        <w:pStyle w:val="FirstParagraph"/>
      </w:pPr>
      <w:r>
        <w:t xml:space="preserve">This PCF analysis strictly adheres to the **GHG Protocol**. Emissions are categorized into Scope 1 (direct), Scope 2 (purchased energy), and Scope 3 (value chain) in accordance with its guidelines.</w:t>
      </w:r>
    </w:p>
    <w:p>
      <w:pPr>
        <w:pStyle w:val="BodyText"/>
      </w:pPr>
      <w:r>
        <w:t xml:space="preserve">The analysis also considers the **2026 Land Sector and Removals (LSR) Standard Update**, which applies to companies with significant land sector activities and those reporting CO2 removals. While specific land use data for raw material extraction for EcoWidget 3000 is not provided, the principles of transparent accounting for biogenic emissions and removals are acknowledged and applied where relevant. The accompanying guidance for the LSR Standard is expected in Q2 2026, which will offer further implementation details.</w:t>
      </w:r>
    </w:p>
    <w:p>
      <w:r>
        <w:pict>
          <v:rect style="width:0;height:1.5pt" o:hralign="center" o:hrstd="t" o:hr="t"/>
        </w:pict>
      </w:r>
    </w:p>
    <w:bookmarkEnd w:id="26"/>
    <w:bookmarkEnd w:id="27"/>
    <w:bookmarkStart w:id="33" w:name="X9b3f95e3515408304ff4a9cec9842f2424d7a20"/>
    <w:p>
      <w:pPr>
        <w:pStyle w:val="Heading2"/>
      </w:pPr>
      <w:r>
        <w:t xml:space="preserve">2. Map Lifecycle (LCI Inventory Stages) &amp; 3. Collect Data (Primary/Secondary Data Points)</w:t>
      </w:r>
    </w:p>
    <w:p>
      <w:pPr>
        <w:pStyle w:val="FirstParagraph"/>
      </w:pPr>
      <w:r>
        <w:t xml:space="preserve">The life cycle mapping for EcoWidget 3000 includes key stages where data has been collected or estimated based on industry averages for high-detail calculation. Specific parameters provided have been directly integrated.</w:t>
      </w:r>
    </w:p>
    <w:bookmarkStart w:id="28" w:name="X31e1ea58c936158ab2daa6a4441ff87c12cb19a"/>
    <w:p>
      <w:pPr>
        <w:pStyle w:val="Heading3"/>
      </w:pPr>
      <w:r>
        <w:t xml:space="preserve">Detailed Bill of Materials (BOM) - Materials Acquisition and Pre-processing (Scope 3, Category 1: Purchased Goods and Services)</w:t>
      </w:r>
    </w:p>
    <w:p>
      <w:pPr>
        <w:pStyle w:val="FirstParagraph"/>
      </w:pPr>
      <w:r>
        <w:t xml:space="preserve">The following detailed Bill of Materials (BOM) for zjiplvzkiv (EcoWidget 3000) was provided and used for material impact calculation. Emission factors are representative industry values from sources like Ecoinvent/DEFRA. Total Carbon for each item is calculated as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(Ecoinvent average)</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 (DEFRA/industry estimate)</w:t>
            </w:r>
          </w:p>
        </w:tc>
        <w:tc>
          <w:tcPr/>
          <w:p>
            <w:pPr>
              <w:pStyle w:val="Compact"/>
              <w:jc w:val="left"/>
            </w:pPr>
            <w:r>
              <w:t xml:space="preserve">2.50</w:t>
            </w:r>
          </w:p>
        </w:tc>
      </w:tr>
      <w:tr>
        <w:tc>
          <w:tcPr/>
          <w:p>
            <w:pPr>
              <w:pStyle w:val="Compact"/>
              <w:jc w:val="left"/>
            </w:pPr>
            <w:r>
              <w:t xml:space="preserve">3</w:t>
            </w:r>
          </w:p>
        </w:tc>
        <w:tc>
          <w:tcPr/>
          <w:p>
            <w:pPr>
              <w:pStyle w:val="Compact"/>
              <w:jc w:val="left"/>
            </w:pPr>
            <w:r>
              <w:t xml:space="preserve">Integrated Circuits</w:t>
            </w:r>
          </w:p>
        </w:tc>
        <w:tc>
          <w:tcPr/>
          <w:p>
            <w:pPr>
              <w:pStyle w:val="Compact"/>
              <w:jc w:val="left"/>
            </w:pPr>
            <w:r>
              <w:t xml:space="preserve">Electronic</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 (Ecoinvent/industry estimate)</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80.0 (Ecoinvent/DEFRA equivalent for Li-ion battery production, primary materials)</w:t>
            </w:r>
          </w:p>
        </w:tc>
        <w:tc>
          <w:tcPr/>
          <w:p>
            <w:pPr>
              <w:pStyle w:val="Compact"/>
              <w:jc w:val="left"/>
            </w:pPr>
            <w:r>
              <w:t xml:space="preserve">8.00</w:t>
            </w:r>
          </w:p>
        </w:tc>
      </w:tr>
      <w:tr>
        <w:tc>
          <w:tcPr/>
          <w:p>
            <w:pPr>
              <w:pStyle w:val="Compact"/>
              <w:jc w:val="left"/>
            </w:pPr>
            <w:r>
              <w:t xml:space="preserve">5</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(Ecoinvent/DEFRA for ABS production)</w:t>
            </w:r>
          </w:p>
        </w:tc>
        <w:tc>
          <w:tcPr/>
          <w:p>
            <w:pPr>
              <w:pStyle w:val="Compact"/>
              <w:jc w:val="left"/>
            </w:pPr>
            <w:r>
              <w:t xml:space="preserve">0.60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 (Ecoinvent/DEFRA for virgin cardboard)</w:t>
            </w:r>
          </w:p>
        </w:tc>
        <w:tc>
          <w:tcPr/>
          <w:p>
            <w:pPr>
              <w:pStyle w:val="Compact"/>
              <w:jc w:val="left"/>
            </w:pPr>
            <w:r>
              <w:t xml:space="preserve">0.15</w:t>
            </w:r>
          </w:p>
        </w:tc>
      </w:tr>
      <w:tr>
        <w:tc>
          <w:tcPr>
            <w:gridSpan w:val="7"/>
          </w:tcPr>
          <w:p>
            <w:pPr>
              <w:pStyle w:val="Compact"/>
              <w:jc w:val="right"/>
            </w:pPr>
            <w:r>
              <w:t xml:space="preserve">Total Material Impact:</w:t>
            </w:r>
          </w:p>
        </w:tc>
        <w:tc>
          <w:tcPr/>
          <w:p>
            <w:pPr>
              <w:pStyle w:val="Compact"/>
              <w:jc w:val="left"/>
            </w:pPr>
            <w:r>
              <w:t xml:space="preserve">24.75 kgCO2e</w:t>
            </w:r>
          </w:p>
        </w:tc>
      </w:tr>
    </w:tbl>
    <w:bookmarkEnd w:id="28"/>
    <w:bookmarkStart w:id="29" w:name="X3bccc42342788050f8d98ef23f75410302546ac"/>
    <w:p>
      <w:pPr>
        <w:pStyle w:val="Heading3"/>
      </w:pPr>
      <w:r>
        <w:t xml:space="preserve">Production Phase - Energy Inputs (Scope 2: Purchased Electricity, Scope 1: Direct Combustion if any)</w:t>
      </w:r>
    </w:p>
    <w:p>
      <w:pPr>
        <w:pStyle w:val="FirstParagraph"/>
      </w:pPr>
      <w:r>
        <w:t xml:space="preserve">Energy consumption during the manufacturing of EcoWidget 3000 is a significant input. The final production country is China.</w:t>
      </w:r>
    </w:p>
    <w:p>
      <w:pPr>
        <w:numPr>
          <w:ilvl w:val="0"/>
          <w:numId w:val="1003"/>
        </w:numPr>
        <w:pStyle w:val="Compact"/>
      </w:pPr>
      <w:r>
        <w:rPr>
          <w:bCs/>
          <w:b/>
        </w:rPr>
        <w:t xml:space="preserve">Energy Intensity (kWh/unit):</w:t>
      </w:r>
      <w:r>
        <w:t xml:space="preserve"> </w:t>
      </w:r>
      <w:r>
        <w:t xml:space="preserve">5.5 kWh/unit</w:t>
      </w:r>
    </w:p>
    <w:p>
      <w:pPr>
        <w:numPr>
          <w:ilvl w:val="0"/>
          <w:numId w:val="1003"/>
        </w:numPr>
        <w:pStyle w:val="Compact"/>
      </w:pPr>
      <w:r>
        <w:rPr>
          <w:bCs/>
          <w:b/>
        </w:rPr>
        <w:t xml:space="preserve">Renewable Energy Usage:</w:t>
      </w:r>
      <w:r>
        <w:t xml:space="preserve"> </w:t>
      </w:r>
      <w:r>
        <w:t xml:space="preserve">65%</w:t>
      </w:r>
    </w:p>
    <w:p>
      <w:pPr>
        <w:numPr>
          <w:ilvl w:val="0"/>
          <w:numId w:val="1003"/>
        </w:numPr>
        <w:pStyle w:val="Compact"/>
      </w:pPr>
      <w:r>
        <w:rPr>
          <w:bCs/>
          <w:b/>
        </w:rPr>
        <w:t xml:space="preserve">Geographic Scope for Production:</w:t>
      </w:r>
      <w:r>
        <w:t xml:space="preserve"> </w:t>
      </w:r>
      <w:r>
        <w:t xml:space="preserve">China</w:t>
      </w:r>
    </w:p>
    <w:p>
      <w:pPr>
        <w:pStyle w:val="FirstParagraph"/>
      </w:pPr>
      <w:r>
        <w:t xml:space="preserve">Assumed Emission Factors:</w:t>
      </w:r>
    </w:p>
    <w:p>
      <w:pPr>
        <w:numPr>
          <w:ilvl w:val="0"/>
          <w:numId w:val="1004"/>
        </w:numPr>
        <w:pStyle w:val="Compact"/>
      </w:pPr>
      <w:r>
        <w:t xml:space="preserve">China Grid Electricity Emission Factor (average): 0.581 kgCO2e/kWh</w:t>
      </w:r>
    </w:p>
    <w:p>
      <w:pPr>
        <w:numPr>
          <w:ilvl w:val="0"/>
          <w:numId w:val="1004"/>
        </w:numPr>
        <w:pStyle w:val="Compact"/>
      </w:pPr>
      <w:r>
        <w:t xml:space="preserve">Renewable Electricity Emission Factor (residual): 0.01 kgCO2e/kWh</w:t>
      </w:r>
    </w:p>
    <w:bookmarkEnd w:id="29"/>
    <w:bookmarkStart w:id="30" w:name="X92f70ebfbb296e94de30ee4c0c7bab3e45007f3"/>
    <w:p>
      <w:pPr>
        <w:pStyle w:val="Heading3"/>
      </w:pPr>
      <w:r>
        <w:t xml:space="preserve">Transport and Distribution (Scope 3, Category 4: Upstream Transportation and Distribution &amp; Category 9: Downstream Transportation and Distribution)</w:t>
      </w:r>
    </w:p>
    <w:p>
      <w:pPr>
        <w:pStyle w:val="FirstParagraph"/>
      </w:pPr>
      <w:r>
        <w:t xml:space="preserve">Logistics data for product distribution is incorporated into the supply chain analysis.</w:t>
      </w:r>
    </w:p>
    <w:p>
      <w:pPr>
        <w:numPr>
          <w:ilvl w:val="0"/>
          <w:numId w:val="1005"/>
        </w:numPr>
        <w:pStyle w:val="Compact"/>
      </w:pPr>
      <w:r>
        <w:rPr>
          <w:bCs/>
          <w:b/>
        </w:rPr>
        <w:t xml:space="preserve">Transport Mode (Primary):</w:t>
      </w:r>
      <w:r>
        <w:t xml:space="preserve"> </w:t>
      </w:r>
      <w:r>
        <w:t xml:space="preserve">Road Freight (HGV &gt; 20t)</w:t>
      </w:r>
    </w:p>
    <w:p>
      <w:pPr>
        <w:numPr>
          <w:ilvl w:val="0"/>
          <w:numId w:val="1005"/>
        </w:numPr>
        <w:pStyle w:val="Compact"/>
      </w:pPr>
      <w:r>
        <w:rPr>
          <w:bCs/>
          <w:b/>
        </w:rPr>
        <w:t xml:space="preserve">Transport Distance (Primary):</w:t>
      </w:r>
      <w:r>
        <w:t xml:space="preserve"> </w:t>
      </w:r>
      <w:r>
        <w:t xml:space="preserve">1500 km</w:t>
      </w:r>
    </w:p>
    <w:p>
      <w:pPr>
        <w:numPr>
          <w:ilvl w:val="0"/>
          <w:numId w:val="1005"/>
        </w:numPr>
        <w:pStyle w:val="Compact"/>
      </w:pPr>
      <w:r>
        <w:rPr>
          <w:bCs/>
          <w:b/>
        </w:rPr>
        <w:t xml:space="preserve">Last-Mile Delivery Channel:</w:t>
      </w:r>
      <w:r>
        <w:t xml:space="preserve"> </w:t>
      </w:r>
      <w:r>
        <w:t xml:space="preserve">Parcel Service (Van)</w:t>
      </w:r>
    </w:p>
    <w:p>
      <w:pPr>
        <w:numPr>
          <w:ilvl w:val="0"/>
          <w:numId w:val="1005"/>
        </w:numPr>
        <w:pStyle w:val="Compact"/>
      </w:pPr>
      <w:r>
        <w:rPr>
          <w:bCs/>
          <w:b/>
        </w:rPr>
        <w:t xml:space="preserve">Product Weight (approx.):</w:t>
      </w:r>
      <w:r>
        <w:t xml:space="preserve"> </w:t>
      </w:r>
      <w:r>
        <w:t xml:space="preserve">1.1 kg (including packaging)</w:t>
      </w:r>
    </w:p>
    <w:p>
      <w:pPr>
        <w:pStyle w:val="FirstParagraph"/>
      </w:pPr>
      <w:r>
        <w:t xml:space="preserve">Assumed Emission Factors:</w:t>
      </w:r>
    </w:p>
    <w:p>
      <w:pPr>
        <w:numPr>
          <w:ilvl w:val="0"/>
          <w:numId w:val="1006"/>
        </w:numPr>
        <w:pStyle w:val="Compact"/>
      </w:pPr>
      <w:r>
        <w:t xml:space="preserve">Road Freight (HGV &gt; 20t, Europe focused): 0.020 kgCO2e/tonne-km (approx. 0.000020 kgCO2e/kg-km, considering load factors)</w:t>
      </w:r>
    </w:p>
    <w:p>
      <w:pPr>
        <w:numPr>
          <w:ilvl w:val="0"/>
          <w:numId w:val="1006"/>
        </w:numPr>
        <w:pStyle w:val="Compact"/>
      </w:pPr>
      <w:r>
        <w:t xml:space="preserve">Last-Mile Delivery (Parcel Service, Van, per unit estimate): 0.5 kgCO2e/unit (based on typical van efficiency and parcel density for 50km last mile)</w:t>
      </w:r>
    </w:p>
    <w:bookmarkEnd w:id="30"/>
    <w:bookmarkStart w:id="31" w:name="Xc8d47610e025d3b1fe367d676386ecee874efa3"/>
    <w:p>
      <w:pPr>
        <w:pStyle w:val="Heading3"/>
      </w:pPr>
      <w:r>
        <w:t xml:space="preserve">Use Phase (Scope 3, Category 11: Use of Sold Products)</w:t>
      </w:r>
    </w:p>
    <w:p>
      <w:pPr>
        <w:pStyle w:val="FirstParagraph"/>
      </w:pPr>
      <w:r>
        <w:t xml:space="preserve">The product\'s durability and energy consumption during its active life significantly contribute to its footprint.</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100 kWh/year</w:t>
      </w:r>
    </w:p>
    <w:p>
      <w:pPr>
        <w:pStyle w:val="FirstParagraph"/>
      </w:pPr>
      <w:r>
        <w:t xml:space="preserve">Assumed Emission Factor:</w:t>
      </w:r>
    </w:p>
    <w:p>
      <w:pPr>
        <w:numPr>
          <w:ilvl w:val="0"/>
          <w:numId w:val="1008"/>
        </w:numPr>
        <w:pStyle w:val="Compact"/>
      </w:pPr>
      <w:r>
        <w:t xml:space="preserve">Average Consumer Grid Electricity Emission Factor: 0.35 kgCO2e/kWh (global average, varies by region)</w:t>
      </w:r>
    </w:p>
    <w:bookmarkEnd w:id="31"/>
    <w:bookmarkStart w:id="32" w:name="X22f9dae0edae5a4ebf0dcf5b8ca74de2c6ea5a4"/>
    <w:p>
      <w:pPr>
        <w:pStyle w:val="Heading3"/>
      </w:pPr>
      <w:r>
        <w:t xml:space="preserve">End-of-Life (EoL) Scenarios (Scope 3, Category 12: End-of-Life Treatment of Sold Products)</w:t>
      </w:r>
    </w:p>
    <w:p>
      <w:pPr>
        <w:pStyle w:val="FirstParagraph"/>
      </w:pPr>
      <w:r>
        <w:t xml:space="preserve">Circular economy impacts are reflected through end-of-life scenarios.</w:t>
      </w:r>
    </w:p>
    <w:p>
      <w:pPr>
        <w:numPr>
          <w:ilvl w:val="0"/>
          <w:numId w:val="1009"/>
        </w:numPr>
        <w:pStyle w:val="Compact"/>
      </w:pPr>
      <w:r>
        <w:rPr>
          <w:bCs/>
          <w:b/>
        </w:rPr>
        <w:t xml:space="preserve">Recyclability Percentage:</w:t>
      </w:r>
      <w:r>
        <w:t xml:space="preserve"> </w:t>
      </w:r>
      <w:r>
        <w:t xml:space="preserve">80%</w:t>
      </w:r>
    </w:p>
    <w:p>
      <w:pPr>
        <w:numPr>
          <w:ilvl w:val="0"/>
          <w:numId w:val="1009"/>
        </w:numPr>
        <w:pStyle w:val="Compact"/>
      </w:pPr>
      <w:r>
        <w:rPr>
          <w:bCs/>
          <w:b/>
        </w:rPr>
        <w:t xml:space="preserve">Circular/Take-back Programs:</w:t>
      </w:r>
      <w:r>
        <w:t xml:space="preserve"> </w:t>
      </w:r>
      <w:r>
        <w:t xml:space="preserve">Yes (product refurbishment &amp; recycling)</w:t>
      </w:r>
    </w:p>
    <w:p>
      <w:pPr>
        <w:pStyle w:val="FirstParagraph"/>
      </w:pPr>
      <w:r>
        <w:t xml:space="preserve">Assumed Emission Factors/Benefits (based on material composition and disposal methods):</w:t>
      </w:r>
    </w:p>
    <w:p>
      <w:pPr>
        <w:numPr>
          <w:ilvl w:val="0"/>
          <w:numId w:val="1010"/>
        </w:numPr>
        <w:pStyle w:val="Compact"/>
      </w:pPr>
      <w:r>
        <w:t xml:space="preserve">Avoided emissions from recycling (average for electronics/metals): -1.0 kgCO2e/kg of recycled material (benefit)</w:t>
      </w:r>
    </w:p>
    <w:p>
      <w:pPr>
        <w:numPr>
          <w:ilvl w:val="0"/>
          <w:numId w:val="1010"/>
        </w:numPr>
        <w:pStyle w:val="Compact"/>
      </w:pPr>
      <w:r>
        <w:t xml:space="preserve">Emissions from landfill/incineration (for non-recycled portion): 0.5 kgCO2e/kg (landfill/incineration for mixed electronics)</w:t>
      </w:r>
    </w:p>
    <w:p>
      <w:r>
        <w:pict>
          <v:rect style="width:0;height:1.5pt" o:hralign="center" o:hrstd="t" o:hr="t"/>
        </w:pict>
      </w:r>
    </w:p>
    <w:bookmarkEnd w:id="32"/>
    <w:bookmarkEnd w:id="33"/>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life cycle stage and categorized according to the GHG Protocol.</w:t>
      </w:r>
    </w:p>
    <w:bookmarkStart w:id="34" w:name="Xa124a95b981c370289279a4b723120ad8e79cc2"/>
    <w:p>
      <w:pPr>
        <w:pStyle w:val="Heading3"/>
      </w:pPr>
      <w:r>
        <w:t xml:space="preserve">4.1. Materials Acquisition &amp; Pre-processing (Scope 3 - Upstream)</w:t>
      </w:r>
    </w:p>
    <w:p>
      <w:pPr>
        <w:pStyle w:val="FirstParagraph"/>
      </w:pPr>
      <w:r>
        <w:t xml:space="preserve">As per the detailed BOM, the sum of "Total Carbon" values represents the emissions from material extraction, production, and pre-processing:</w:t>
      </w:r>
    </w:p>
    <w:p>
      <w:pPr>
        <w:pStyle w:val="BodyText"/>
      </w:pPr>
      <w:r>
        <w:rPr>
          <w:bCs/>
          <w:b/>
        </w:rPr>
        <w:t xml:space="preserve">Total Material Impact: 24.75 kgCO2e</w:t>
      </w:r>
    </w:p>
    <w:bookmarkEnd w:id="34"/>
    <w:bookmarkStart w:id="35" w:name="production-phase-emissions-scope-1-2"/>
    <w:p>
      <w:pPr>
        <w:pStyle w:val="Heading3"/>
      </w:pPr>
      <w:r>
        <w:t xml:space="preserve">4.2. Production Phase Emissions (Scope 1 &amp; 2)</w:t>
      </w:r>
    </w:p>
    <w:p>
      <w:pPr>
        <w:pStyle w:val="FirstParagraph"/>
      </w:pPr>
      <w:r>
        <w:t xml:space="preserve">Emissions from energy consumption during manufacturing:</w:t>
      </w:r>
    </w:p>
    <w:p>
      <w:pPr>
        <w:numPr>
          <w:ilvl w:val="0"/>
          <w:numId w:val="1011"/>
        </w:numPr>
        <w:pStyle w:val="Compact"/>
      </w:pPr>
      <w:r>
        <w:t xml:space="preserve">Non-renewable energy consumption = 5.5 kWh/unit * (1 - 0.65) = 1.925 kWh/unit</w:t>
      </w:r>
    </w:p>
    <w:p>
      <w:pPr>
        <w:numPr>
          <w:ilvl w:val="0"/>
          <w:numId w:val="1011"/>
        </w:numPr>
        <w:pStyle w:val="Compact"/>
      </w:pPr>
      <w:r>
        <w:t xml:space="preserve">Renewable energy consumption = 5.5 kWh/unit * 0.65 = 3.575 kWh/unit</w:t>
      </w:r>
    </w:p>
    <w:p>
      <w:pPr>
        <w:numPr>
          <w:ilvl w:val="0"/>
          <w:numId w:val="1011"/>
        </w:numPr>
        <w:pStyle w:val="Compact"/>
      </w:pPr>
      <w:r>
        <w:t xml:space="preserve">Emissions from non-renewable energy = 1.925 kWh/unit * 0.581 kgCO2e/kWh (China Grid EF) = 1.1186 kgCO2e/unit</w:t>
      </w:r>
    </w:p>
    <w:p>
      <w:pPr>
        <w:numPr>
          <w:ilvl w:val="0"/>
          <w:numId w:val="1011"/>
        </w:numPr>
        <w:pStyle w:val="Compact"/>
      </w:pPr>
      <w:r>
        <w:t xml:space="preserve">Emissions from renewable energy = 3.575 kWh/unit * 0.01 kgCO2e/kWh (Residual EF) = 0.0358 kgCO2e/unit</w:t>
      </w:r>
    </w:p>
    <w:p>
      <w:pPr>
        <w:pStyle w:val="FirstParagraph"/>
      </w:pPr>
      <w:r>
        <w:rPr>
          <w:bCs/>
          <w:b/>
        </w:rPr>
        <w:t xml:space="preserve">Total Production Energy Emissions (primarily Scope 2): 1.1544 kgCO2e</w:t>
      </w:r>
    </w:p>
    <w:p>
      <w:pPr>
        <w:pStyle w:val="BodyText"/>
      </w:pPr>
      <w:r>
        <w:rPr>
          <w:iCs/>
          <w:i/>
        </w:rPr>
        <w:t xml:space="preserve">(Note: Assuming no direct fuel combustion (Scope 1) at the facility based on provided parameters, focusing on purchased electricity.)</w:t>
      </w:r>
    </w:p>
    <w:bookmarkEnd w:id="35"/>
    <w:bookmarkStart w:id="36" w:name="X54d48487e037a7d36165653627298072f6e6f57"/>
    <w:p>
      <w:pPr>
        <w:pStyle w:val="Heading3"/>
      </w:pPr>
      <w:r>
        <w:t xml:space="preserve">4.3. Transport and Distribution Emissions (Scope 3 - Downstream)</w:t>
      </w:r>
    </w:p>
    <w:p>
      <w:pPr>
        <w:pStyle w:val="FirstParagraph"/>
      </w:pPr>
      <w:r>
        <w:t xml:space="preserve">Emissions from product transportation from factory to customer:</w:t>
      </w:r>
    </w:p>
    <w:p>
      <w:pPr>
        <w:numPr>
          <w:ilvl w:val="0"/>
          <w:numId w:val="1012"/>
        </w:numPr>
        <w:pStyle w:val="Compact"/>
      </w:pPr>
      <w:r>
        <w:t xml:space="preserve">Product weight (including packaging) = 1.1 kg</w:t>
      </w:r>
    </w:p>
    <w:p>
      <w:pPr>
        <w:numPr>
          <w:ilvl w:val="0"/>
          <w:numId w:val="1012"/>
        </w:numPr>
        <w:pStyle w:val="Compact"/>
      </w:pPr>
      <w:r>
        <w:t xml:space="preserve">Primary Transport (Road Freight): 1.1 kg * 1500 km * 0.000020 kgCO2e/kg-km = 0.033 kgCO2e</w:t>
      </w:r>
    </w:p>
    <w:p>
      <w:pPr>
        <w:numPr>
          <w:ilvl w:val="0"/>
          <w:numId w:val="1012"/>
        </w:numPr>
        <w:pStyle w:val="Compact"/>
      </w:pPr>
      <w:r>
        <w:t xml:space="preserve">Last-Mile Delivery (Parcel Service): 0.5 kgCO2e/unit</w:t>
      </w:r>
    </w:p>
    <w:p>
      <w:pPr>
        <w:pStyle w:val="FirstParagraph"/>
      </w:pPr>
      <w:r>
        <w:rPr>
          <w:bCs/>
          <w:b/>
        </w:rPr>
        <w:t xml:space="preserve">Total Transport Emissions (Scope 3, Category 9): 0.533 kgCO2e</w:t>
      </w:r>
    </w:p>
    <w:bookmarkEnd w:id="36"/>
    <w:bookmarkStart w:id="37" w:name="use-phase-emissions-scope-3---downstream"/>
    <w:p>
      <w:pPr>
        <w:pStyle w:val="Heading3"/>
      </w:pPr>
      <w:r>
        <w:t xml:space="preserve">4.4. Use Phase Emissions (Scope 3 - Downstream)</w:t>
      </w:r>
    </w:p>
    <w:p>
      <w:pPr>
        <w:pStyle w:val="FirstParagraph"/>
      </w:pPr>
      <w:r>
        <w:t xml:space="preserve">Emissions from energy consumed during the product\'s lifespan:</w:t>
      </w:r>
    </w:p>
    <w:p>
      <w:pPr>
        <w:numPr>
          <w:ilvl w:val="0"/>
          <w:numId w:val="1013"/>
        </w:numPr>
        <w:pStyle w:val="Compact"/>
      </w:pPr>
      <w:r>
        <w:t xml:space="preserve">Total energy consumption = 100 kWh/year * 5 years = 500 kWh/unit</w:t>
      </w:r>
    </w:p>
    <w:p>
      <w:pPr>
        <w:numPr>
          <w:ilvl w:val="0"/>
          <w:numId w:val="1013"/>
        </w:numPr>
        <w:pStyle w:val="Compact"/>
      </w:pPr>
      <w:r>
        <w:t xml:space="preserve">Emissions = 500 kWh/unit * 0.35 kgCO2e/kWh = 175.0 kgCO2e</w:t>
      </w:r>
    </w:p>
    <w:p>
      <w:pPr>
        <w:pStyle w:val="FirstParagraph"/>
      </w:pPr>
      <w:r>
        <w:rPr>
          <w:bCs/>
          <w:b/>
        </w:rPr>
        <w:t xml:space="preserve">Total Use Phase Emissions (Scope 3, Category 11): 175.0 kgCO2e</w:t>
      </w:r>
    </w:p>
    <w:bookmarkEnd w:id="37"/>
    <w:bookmarkStart w:id="38" w:name="X197fe7cb05ddcda29fd9a199a9eb1d436057bb2"/>
    <w:p>
      <w:pPr>
        <w:pStyle w:val="Heading3"/>
      </w:pPr>
      <w:r>
        <w:t xml:space="preserve">4.5. End-of-Life (EoL) Emissions/Benefits (Scope 3 - Downstream)</w:t>
      </w:r>
    </w:p>
    <w:p>
      <w:pPr>
        <w:pStyle w:val="FirstParagraph"/>
      </w:pPr>
      <w:r>
        <w:t xml:space="preserve">Emissions and avoided emissions from disposal and recycling:</w:t>
      </w:r>
    </w:p>
    <w:p>
      <w:pPr>
        <w:numPr>
          <w:ilvl w:val="0"/>
          <w:numId w:val="1014"/>
        </w:numPr>
        <w:pStyle w:val="Compact"/>
      </w:pPr>
      <w:r>
        <w:t xml:space="preserve">Recyclable portion = 1.1 kg * 80% = 0.88 kg</w:t>
      </w:r>
    </w:p>
    <w:p>
      <w:pPr>
        <w:numPr>
          <w:ilvl w:val="0"/>
          <w:numId w:val="1014"/>
        </w:numPr>
        <w:pStyle w:val="Compact"/>
      </w:pPr>
      <w:r>
        <w:t xml:space="preserve">Disposed portion (landfill/incineration) = 1.1 kg * 20% = 0.22 kg</w:t>
      </w:r>
    </w:p>
    <w:p>
      <w:pPr>
        <w:numPr>
          <w:ilvl w:val="0"/>
          <w:numId w:val="1014"/>
        </w:numPr>
        <w:pStyle w:val="Compact"/>
      </w:pPr>
      <w:r>
        <w:t xml:space="preserve">Avoided emissions from recycling = 0.88 kg * (-1.0 kgCO2e/kg) = -0.88 kgCO2e</w:t>
      </w:r>
    </w:p>
    <w:p>
      <w:pPr>
        <w:numPr>
          <w:ilvl w:val="0"/>
          <w:numId w:val="1014"/>
        </w:numPr>
        <w:pStyle w:val="Compact"/>
      </w:pPr>
      <w:r>
        <w:t xml:space="preserve">Emissions from disposal = 0.22 kg * 0.5 kgCO2e/kg = 0.11 kgCO2e</w:t>
      </w:r>
    </w:p>
    <w:p>
      <w:pPr>
        <w:pStyle w:val="FirstParagraph"/>
      </w:pPr>
      <w:r>
        <w:rPr>
          <w:bCs/>
          <w:b/>
        </w:rPr>
        <w:t xml:space="preserve">Total End-of-Life Emissions/Benefits (Scope 3, Category 12): -0.77 kgCO2e</w:t>
      </w:r>
    </w:p>
    <w:bookmarkEnd w:id="38"/>
    <w:bookmarkStart w:id="39" w:name="X6413f39be643e22999a23a6d06c301613ade0b5"/>
    <w:p>
      <w:pPr>
        <w:pStyle w:val="Heading3"/>
      </w:pPr>
      <w:r>
        <w:t xml:space="preserve">Summary of Product Carbon Footprint (PCF) by Scope and Life 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 Category</w:t>
            </w:r>
          </w:p>
        </w:tc>
        <w:tc>
          <w:tcPr/>
          <w:p>
            <w:pPr>
              <w:pStyle w:val="Compact"/>
              <w:jc w:val="left"/>
            </w:pPr>
            <w:r>
              <w:t xml:space="preserve">Emissions (kgCO2e)</w:t>
            </w:r>
          </w:p>
        </w:tc>
        <w:tc>
          <w:tcPr/>
          <w:p>
            <w:pPr>
              <w:pStyle w:val="Compact"/>
              <w:jc w:val="left"/>
            </w:pPr>
            <w:r>
              <w:t xml:space="preserve">Percentage of Total PCF (%)</w:t>
            </w:r>
          </w:p>
        </w:tc>
      </w:tr>
      <w:tr>
        <w:tc>
          <w:tcPr/>
          <w:p>
            <w:pPr>
              <w:pStyle w:val="Compact"/>
              <w:jc w:val="left"/>
            </w:pPr>
            <w:r>
              <w:t xml:space="preserve">Materials Acquisition &amp; Pre-processing</w:t>
            </w:r>
          </w:p>
        </w:tc>
        <w:tc>
          <w:tcPr/>
          <w:p>
            <w:pPr>
              <w:pStyle w:val="Compact"/>
              <w:jc w:val="left"/>
            </w:pPr>
            <w:r>
              <w:t xml:space="preserve">Scope 3 (Upstream, Category 1)</w:t>
            </w:r>
          </w:p>
        </w:tc>
        <w:tc>
          <w:tcPr/>
          <w:p>
            <w:pPr>
              <w:pStyle w:val="Compact"/>
              <w:jc w:val="left"/>
            </w:pPr>
            <w:r>
              <w:t xml:space="preserve">24.75</w:t>
            </w:r>
          </w:p>
        </w:tc>
        <w:tc>
          <w:tcPr/>
          <w:p>
            <w:pPr>
              <w:pStyle w:val="Compact"/>
              <w:jc w:val="left"/>
            </w:pPr>
            <w:r>
              <w:t xml:space="preserve">12.34%</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1.15</w:t>
            </w:r>
          </w:p>
        </w:tc>
        <w:tc>
          <w:tcPr/>
          <w:p>
            <w:pPr>
              <w:pStyle w:val="Compact"/>
              <w:jc w:val="left"/>
            </w:pPr>
            <w:r>
              <w:t xml:space="preserve">0.57%</w:t>
            </w:r>
          </w:p>
        </w:tc>
      </w:tr>
      <w:tr>
        <w:tc>
          <w:tcPr/>
          <w:p>
            <w:pPr>
              <w:pStyle w:val="Compact"/>
              <w:jc w:val="left"/>
            </w:pPr>
            <w:r>
              <w:t xml:space="preserve">Transport &amp; Distribution</w:t>
            </w:r>
          </w:p>
        </w:tc>
        <w:tc>
          <w:tcPr/>
          <w:p>
            <w:pPr>
              <w:pStyle w:val="Compact"/>
              <w:jc w:val="left"/>
            </w:pPr>
            <w:r>
              <w:t xml:space="preserve">Scope 3 (Downstream, Category 9)</w:t>
            </w:r>
          </w:p>
        </w:tc>
        <w:tc>
          <w:tcPr/>
          <w:p>
            <w:pPr>
              <w:pStyle w:val="Compact"/>
              <w:jc w:val="left"/>
            </w:pPr>
            <w:r>
              <w:t xml:space="preserve">0.53</w:t>
            </w:r>
          </w:p>
        </w:tc>
        <w:tc>
          <w:tcPr/>
          <w:p>
            <w:pPr>
              <w:pStyle w:val="Compact"/>
              <w:jc w:val="left"/>
            </w:pPr>
            <w:r>
              <w:t xml:space="preserve">0.26%</w:t>
            </w:r>
          </w:p>
        </w:tc>
      </w:tr>
      <w:tr>
        <w:tc>
          <w:tcPr/>
          <w:p>
            <w:pPr>
              <w:pStyle w:val="Compact"/>
              <w:jc w:val="left"/>
            </w:pPr>
            <w:r>
              <w:t xml:space="preserve">Use Phase</w:t>
            </w:r>
          </w:p>
        </w:tc>
        <w:tc>
          <w:tcPr/>
          <w:p>
            <w:pPr>
              <w:pStyle w:val="Compact"/>
              <w:jc w:val="left"/>
            </w:pPr>
            <w:r>
              <w:t xml:space="preserve">Scope 3 (Downstream, Category 11)</w:t>
            </w:r>
          </w:p>
        </w:tc>
        <w:tc>
          <w:tcPr/>
          <w:p>
            <w:pPr>
              <w:pStyle w:val="Compact"/>
              <w:jc w:val="left"/>
            </w:pPr>
            <w:r>
              <w:t xml:space="preserve">175.00</w:t>
            </w:r>
          </w:p>
        </w:tc>
        <w:tc>
          <w:tcPr/>
          <w:p>
            <w:pPr>
              <w:pStyle w:val="Compact"/>
              <w:jc w:val="left"/>
            </w:pPr>
            <w:r>
              <w:t xml:space="preserve">87.23%</w:t>
            </w:r>
          </w:p>
        </w:tc>
      </w:tr>
      <w:tr>
        <w:tc>
          <w:tcPr/>
          <w:p>
            <w:pPr>
              <w:pStyle w:val="Compact"/>
              <w:jc w:val="left"/>
            </w:pPr>
            <w:r>
              <w:t xml:space="preserve">End-of-Life Treatment</w:t>
            </w:r>
          </w:p>
        </w:tc>
        <w:tc>
          <w:tcPr/>
          <w:p>
            <w:pPr>
              <w:pStyle w:val="Compact"/>
              <w:jc w:val="left"/>
            </w:pPr>
            <w:r>
              <w:t xml:space="preserve">Scope 3 (Downstream, Category 12)</w:t>
            </w:r>
          </w:p>
        </w:tc>
        <w:tc>
          <w:tcPr/>
          <w:p>
            <w:pPr>
              <w:pStyle w:val="Compact"/>
              <w:jc w:val="left"/>
            </w:pPr>
            <w:r>
              <w:t xml:space="preserve">-0.77</w:t>
            </w:r>
          </w:p>
        </w:tc>
        <w:tc>
          <w:tcPr/>
          <w:p>
            <w:pPr>
              <w:pStyle w:val="Compact"/>
              <w:jc w:val="left"/>
            </w:pPr>
            <w:r>
              <w:t xml:space="preserve">-0.38%</w:t>
            </w:r>
          </w:p>
        </w:tc>
      </w:tr>
      <w:tr>
        <w:tc>
          <w:tcPr>
            <w:gridSpan w:val="2"/>
          </w:tcPr>
          <w:p>
            <w:pPr>
              <w:pStyle w:val="Compact"/>
              <w:jc w:val="right"/>
            </w:pPr>
            <w:r>
              <w:t xml:space="preserve">Total Product Carbon Footprint:</w:t>
            </w:r>
          </w:p>
        </w:tc>
        <w:tc>
          <w:tcPr/>
          <w:p>
            <w:pPr>
              <w:pStyle w:val="Compact"/>
              <w:jc w:val="left"/>
            </w:pPr>
            <w:r>
              <w:t xml:space="preserve">200.66</w:t>
            </w:r>
          </w:p>
        </w:tc>
        <w:tc>
          <w:tcPr/>
          <w:p>
            <w:pPr>
              <w:pStyle w:val="Compact"/>
              <w:jc w:val="left"/>
            </w:pPr>
            <w:r>
              <w:t xml:space="preserve">100.00%</w:t>
            </w:r>
          </w:p>
        </w:tc>
      </w:tr>
    </w:tbl>
    <w:p>
      <w:pPr>
        <w:pStyle w:val="BodyText"/>
      </w:pPr>
      <w:r>
        <w:rPr>
          <w:iCs/>
          <w:i/>
        </w:rPr>
        <w:t xml:space="preserve">(Note: Sum of percentages may slightly vary due to rounding.)</w:t>
      </w:r>
    </w:p>
    <w:p>
      <w:pPr>
        <w:pStyle w:val="BodyText"/>
      </w:pPr>
      <w:r>
        <w:rPr>
          <w:bCs/>
          <w:b/>
        </w:rPr>
        <w:t xml:space="preserve">Total Product Carbon Footprint (PCF) for 1.0 unit of zjiplvzkiv (EcoWidget 3000): 200.66 kgCO2e</w:t>
      </w:r>
    </w:p>
    <w:p>
      <w:r>
        <w:pict>
          <v:rect style="width:0;height:1.5pt" o:hralign="center" o:hrstd="t" o:hr="t"/>
        </w:pict>
      </w:r>
    </w:p>
    <w:bookmarkEnd w:id="39"/>
    <w:bookmarkEnd w:id="40"/>
    <w:bookmarkStart w:id="45" w:name="review-report"/>
    <w:p>
      <w:pPr>
        <w:pStyle w:val="Heading2"/>
      </w:pPr>
      <w:r>
        <w:t xml:space="preserve">5. Review &amp; Report</w:t>
      </w:r>
    </w:p>
    <w:bookmarkStart w:id="41" w:name="hotspots-and-reliability"/>
    <w:p>
      <w:pPr>
        <w:pStyle w:val="Heading3"/>
      </w:pPr>
      <w:r>
        <w:t xml:space="preserve">Hotspots and Reliability:</w:t>
      </w:r>
    </w:p>
    <w:p>
      <w:pPr>
        <w:pStyle w:val="FirstParagraph"/>
      </w:pPr>
      <w:r>
        <w:t xml:space="preserve">The PCF analysis reveals that the **Use Phase** is by far the most significant contributor to the EcoWidget 3000\'s carbon footprint, accounting for approximately 87.23% of total emissions. This is primarily driven by the product\'s energy consumption over its 5-year lifespan. Materials acquisition and pre-processing represent the second-largest hotspot (12.34%). Transport and Production energy have relatively minor impacts in comparison.</w:t>
      </w:r>
    </w:p>
    <w:p>
      <w:pPr>
        <w:pStyle w:val="BodyText"/>
      </w:pPr>
      <w:r>
        <w:t xml:space="preserve">The negative contribution from the End-of-Life phase indicates a net carbon benefit due to the high recyclability percentage (80%) and the presence of circular/take-back programs, which effectively reduce the need for virgin material production.</w:t>
      </w:r>
    </w:p>
    <w:bookmarkEnd w:id="41"/>
    <w:bookmarkStart w:id="42" w:name="scope-3-compliance"/>
    <w:p>
      <w:pPr>
        <w:pStyle w:val="Heading3"/>
      </w:pPr>
      <w:r>
        <w:t xml:space="preserve">Scope 3 Compliance:</w:t>
      </w:r>
    </w:p>
    <w:p>
      <w:pPr>
        <w:pStyle w:val="FirstParagraph"/>
      </w:pPr>
      <w:r>
        <w:t xml:space="preserve">This analysis achieves robust Scope 3 reporting, with comprehensive coverage of upstream (Category 1: Purchased Goods and Services) and downstream (Categories 9, 11, 12: Transportation, Use of Sold Products, End-of-Life Treatment) emissions. The detailed incorporation of BOM, logistics, use phase energy, and EoL scenarios ensures significant coverage, aiming for the **95% coverage for Scope 3 reporting as per 2026 requirements.**</w:t>
      </w:r>
    </w:p>
    <w:bookmarkEnd w:id="42"/>
    <w:bookmarkStart w:id="44" w:name="recommendations"/>
    <w:p>
      <w:pPr>
        <w:pStyle w:val="Heading3"/>
      </w:pPr>
      <w:r>
        <w:t xml:space="preserve">Recommendations:</w:t>
      </w:r>
    </w:p>
    <w:p>
      <w:pPr>
        <w:numPr>
          <w:ilvl w:val="0"/>
          <w:numId w:val="1015"/>
        </w:numPr>
        <w:pStyle w:val="Compact"/>
      </w:pPr>
      <w:r>
        <w:rPr>
          <w:bCs/>
          <w:b/>
        </w:rPr>
        <w:t xml:space="preserve">Focus on Use Phase Optimization:</w:t>
      </w:r>
      <w:r>
        <w:t xml:space="preserve"> </w:t>
      </w:r>
      <w:r>
        <w:t xml:space="preserve">Prioritize efforts to reduce the energy consumption of EcoWidget 3000 during its use. This could involve exploring more energy-efficient components, integrating smart energy-saving modes, or developing clearer user guidance on efficient usage.</w:t>
      </w:r>
    </w:p>
    <w:p>
      <w:pPr>
        <w:numPr>
          <w:ilvl w:val="0"/>
          <w:numId w:val="1015"/>
        </w:numPr>
        <w:pStyle w:val="Compact"/>
      </w:pPr>
      <w:r>
        <w:rPr>
          <w:bCs/>
          <w:b/>
        </w:rPr>
        <w:t xml:space="preserve">Renewable Energy Sourcing in Supply Chain:</w:t>
      </w:r>
      <w:r>
        <w:t xml:space="preserve"> </w:t>
      </w:r>
      <w:r>
        <w:t xml:space="preserve">While jkwkreoizz uses 65% renewable energy in production, advocating for and collaborating with upstream suppliers (e.g., for integrated circuits and batteries) to adopt renewable energy sources would further reduce the significant Scope 3 material impacts.</w:t>
      </w:r>
    </w:p>
    <w:p>
      <w:pPr>
        <w:numPr>
          <w:ilvl w:val="0"/>
          <w:numId w:val="1015"/>
        </w:numPr>
        <w:pStyle w:val="Compact"/>
      </w:pPr>
      <w:r>
        <w:rPr>
          <w:bCs/>
          <w:b/>
        </w:rPr>
        <w:t xml:space="preserve">Enhance Circularity:</w:t>
      </w:r>
      <w:r>
        <w:t xml:space="preserve"> </w:t>
      </w:r>
      <w:r>
        <w:t xml:space="preserve">Continue to strengthen circular economy initiatives, particularly the take-back programs and increasing the recyclability of product components beyond the current 80%, to maximize avoided emissions at end-of-life.</w:t>
      </w:r>
    </w:p>
    <w:p>
      <w:pPr>
        <w:numPr>
          <w:ilvl w:val="0"/>
          <w:numId w:val="1015"/>
        </w:numPr>
        <w:pStyle w:val="Compact"/>
      </w:pPr>
      <w:r>
        <w:rPr>
          <w:bCs/>
          <w:b/>
        </w:rPr>
        <w:t xml:space="preserve">Supplier Engagement:</w:t>
      </w:r>
      <w:r>
        <w:t xml:space="preserve"> </w:t>
      </w:r>
      <w:r>
        <w:t xml:space="preserve">Engage with material suppliers to explore opportunities for lower-carbon materials and processes, especially for high-impact components like integrated circuits and batteries.</w:t>
      </w:r>
    </w:p>
    <w:p>
      <w:pPr>
        <w:pStyle w:val="FirstParagraph"/>
      </w:pPr>
      <w:r>
        <w:t xml:space="preserve">This report provides a foundational understanding of the EcoWidget 3000\'s carbon footprint. Continuous data collection, especially primary data from the supply chain and direct measurement in operations, will further enhance the accuracy and reliability of future assessments.</w:t>
      </w:r>
    </w:p>
    <w:p>
      <w:pPr>
        <w:pStyle w:val="BodyText"/>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EcoWidget 3000</dc:title>
  <dc:creator/>
  <dc:description>High-detail Product Carbon Footprint (PCF) analysis for EcoWidget 3000 by jkwkreoizz, following GHG Protocol standards and 2026 LSR Update.</dc:description>
  <dc:language>en</dc:language>
  <cp:keywords/>
  <dcterms:created xsi:type="dcterms:W3CDTF">2026-05-30T16:45:46Z</dcterms:created>
  <dcterms:modified xsi:type="dcterms:W3CDTF">2026-05-30T16:45:46Z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