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Pro</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w:t>
      </w:r>
      <w:r>
        <w:t xml:space="preserve"> </w:t>
      </w:r>
      <w:r>
        <w:t xml:space="preserve">EcoSmart Widget Pro (qmtslqrfjz)</w:t>
      </w:r>
    </w:p>
    <w:p>
      <w:pPr>
        <w:pStyle w:val="BodyText"/>
      </w:pPr>
      <w:r>
        <w:rPr>
          <w:bCs/>
          <w:b/>
        </w:rPr>
        <w:t xml:space="preserve">Company Name:</w:t>
      </w:r>
      <w:r>
        <w:t xml:space="preserve"> </w:t>
      </w:r>
      <w:r>
        <w:t xml:space="preserve">GreenTech Innovations Inc. (dmnpodjnpo)</w:t>
      </w:r>
    </w:p>
    <w:p>
      <w:pPr>
        <w:pStyle w:val="BodyText"/>
      </w:pPr>
      <w:r>
        <w:rPr>
          <w:bCs/>
          <w:b/>
        </w:rPr>
        <w:t xml:space="preserve">Senior Sustainability Consultant:</w:t>
      </w:r>
      <w:r>
        <w:t xml:space="preserve"> </w:t>
      </w:r>
      <w:r>
        <w:t xml:space="preserve">Dr. Evelyn Reed (irplwdkxpx)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high-level assessment of the product\'s carbon footprint. Actual emissions may vary based on specific operational details and evolving market conditions.</w:t>
      </w:r>
    </w:p>
    <w:bookmarkEnd w:id="20"/>
    <w:bookmarkStart w:id="21" w:name="Xf646e08319afc1a3d27bdc9806e8d16901a0225"/>
    <w:p>
      <w:pPr>
        <w:pStyle w:val="Heading1"/>
      </w:pPr>
      <w:r>
        <w:t xml:space="preserve">Product Carbon Footprint Analysis for EcoSmart Widget Pro</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EcoSmart Widget Pro (qmtslqrfjz), manufactured by GreenTech Innovations Inc. (dmnpodjnpo). The analysis was conducted by Dr. Evelyn Reed (irplwdkxpx), a Senior Sustainability Consultant specializing in GHG Protocol. Adhering to the GHG Protocol’s rigorous standards, including the 2026 Land Sector and Removals (LSR) update, this assessment aims to quantify the greenhouse gas (GHG) emissions across the product\'s lifecycle. Key emissions hotspots are identified, and recommendations for further reduction are provided to support GreenTech Innovations Inc.\'s sustainability objectives.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the EcoSmart Widget Pro (qmtslqrfjz) follows the five-step methodology prescribed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the EcoSmart Widget Pro (qmtslqrfjz). This unit provides a consistent basis for quantifying and comparing environmental impacts.</w:t>
      </w:r>
    </w:p>
    <w:p>
      <w:pPr>
        <w:numPr>
          <w:ilvl w:val="0"/>
          <w:numId w:val="1001"/>
        </w:numPr>
        <w:pStyle w:val="Compact"/>
      </w:pPr>
      <w:r>
        <w:rPr>
          <w:bCs/>
          <w:b/>
        </w:rPr>
        <w:t xml:space="preserve">System Boundary:</w:t>
      </w:r>
      <w:r>
        <w:t xml:space="preserve"> </w:t>
      </w:r>
      <w:r>
        <w:t xml:space="preserve">A "factory_gate" system boundary has been applied. This cradle-to-gate approach includes all emissions associated with raw material acquisition, manufacturing, and transport up to the point the finished product leaves the production facility. For a comprehensive PCF, significant downstream impacts (use phase and end-of-life) are also included in line with the GHG Protocol’s Scope 3 requirements.</w:t>
      </w:r>
    </w:p>
    <w:p>
      <w:pPr>
        <w:numPr>
          <w:ilvl w:val="0"/>
          <w:numId w:val="1001"/>
        </w:numPr>
        <w:pStyle w:val="Compact"/>
      </w:pPr>
      <w:r>
        <w:rPr>
          <w:bCs/>
          <w:b/>
        </w:rPr>
        <w:t xml:space="preserve">Geographic Scope:</w:t>
      </w:r>
      <w:r>
        <w:t xml:space="preserve"> </w:t>
      </w:r>
      <w:r>
        <w:t xml:space="preserve">The final production country is China, with a supply chain focus on Europe for downstream distribution and use.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categorizing emissions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Allocation:</w:t>
      </w:r>
      <w:r>
        <w:t xml:space="preserve"> </w:t>
      </w:r>
      <w:r>
        <w:t xml:space="preserve">Where co-products or by-products exist, allocation methods are based on physical parameters (e.g., mass) or economic value as appropriate, following GHG Protocol guidance.</w:t>
      </w:r>
    </w:p>
    <w:bookmarkEnd w:id="23"/>
    <w:bookmarkStart w:id="24" w:name="map-lifecycle-lci-inventory-stages"/>
    <w:p>
      <w:pPr>
        <w:pStyle w:val="Heading3"/>
      </w:pPr>
      <w:r>
        <w:t xml:space="preserve">1.2. Map Lifecycle (LCI Inventory Stages)</w:t>
      </w:r>
    </w:p>
    <w:p>
      <w:pPr>
        <w:pStyle w:val="FirstParagraph"/>
      </w:pPr>
      <w:r>
        <w:t xml:space="preserve">The lifecycle of the EcoSmart Widget Pro is mapped into the following stages for inventory collection:</w:t>
      </w:r>
    </w:p>
    <w:p>
      <w:pPr>
        <w:numPr>
          <w:ilvl w:val="0"/>
          <w:numId w:val="1002"/>
        </w:numPr>
        <w:pStyle w:val="Compact"/>
      </w:pPr>
      <w:r>
        <w:rPr>
          <w:bCs/>
          <w:b/>
        </w:rPr>
        <w:t xml:space="preserve">Raw Material Acquisition and Pre-processing:</w:t>
      </w:r>
      <w:r>
        <w:t xml:space="preserve"> </w:t>
      </w:r>
      <w:r>
        <w:t xml:space="preserve">Extraction, processing, and refining of all materials listed in the Detailed Bill of Materials (BOM).</w:t>
      </w:r>
    </w:p>
    <w:p>
      <w:pPr>
        <w:numPr>
          <w:ilvl w:val="0"/>
          <w:numId w:val="1002"/>
        </w:numPr>
        <w:pStyle w:val="Compact"/>
      </w:pPr>
      <w:r>
        <w:rPr>
          <w:bCs/>
          <w:b/>
        </w:rPr>
        <w:t xml:space="preserve">Manufacturing/Production:</w:t>
      </w:r>
      <w:r>
        <w:t xml:space="preserve"> </w:t>
      </w:r>
      <w:r>
        <w:t xml:space="preserve">Energy consumption and direct emissions at the dmnpodjnpo production facility in China.</w:t>
      </w:r>
    </w:p>
    <w:p>
      <w:pPr>
        <w:numPr>
          <w:ilvl w:val="0"/>
          <w:numId w:val="1002"/>
        </w:numPr>
        <w:pStyle w:val="Compact"/>
      </w:pPr>
      <w:r>
        <w:rPr>
          <w:bCs/>
          <w:b/>
        </w:rPr>
        <w:t xml:space="preserve">Transportation (Upstream):</w:t>
      </w:r>
      <w:r>
        <w:t xml:space="preserve"> </w:t>
      </w:r>
      <w:r>
        <w:t xml:space="preserve">Transport of raw materials and components to the manufacturing facility.</w:t>
      </w:r>
    </w:p>
    <w:p>
      <w:pPr>
        <w:numPr>
          <w:ilvl w:val="0"/>
          <w:numId w:val="1002"/>
        </w:numPr>
        <w:pStyle w:val="Compact"/>
      </w:pPr>
      <w:r>
        <w:rPr>
          <w:bCs/>
          <w:b/>
        </w:rPr>
        <w:t xml:space="preserve">Transportation (Downstream):</w:t>
      </w:r>
      <w:r>
        <w:t xml:space="preserve"> </w:t>
      </w:r>
      <w:r>
        <w:t xml:space="preserve">Transport of the finished product from the factory gate to the customer, including last-mile delivery.</w:t>
      </w:r>
    </w:p>
    <w:p>
      <w:pPr>
        <w:numPr>
          <w:ilvl w:val="0"/>
          <w:numId w:val="1002"/>
        </w:numPr>
        <w:pStyle w:val="Compact"/>
      </w:pPr>
      <w:r>
        <w:rPr>
          <w:bCs/>
          <w:b/>
        </w:rPr>
        <w:t xml:space="preserve">Use Phase:</w:t>
      </w:r>
      <w:r>
        <w:t xml:space="preserve"> </w:t>
      </w:r>
      <w:r>
        <w:t xml:space="preserve">Energy consumption during the typical lifespan of the product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p>
      <w:r>
        <w:pict>
          <v:rect style="width:0;height:1.5pt" o:hralign="center" o:hrstd="t" o:hr="t"/>
        </w:pict>
      </w:r>
    </w:p>
    <w:bookmarkEnd w:id="24"/>
    <w:bookmarkEnd w:id="25"/>
    <w:bookmarkStart w:id="31" w:name="Xede0cbf64243635febf89e55c371f2d65de8c77"/>
    <w:p>
      <w:pPr>
        <w:pStyle w:val="Heading2"/>
      </w:pPr>
      <w:r>
        <w:t xml:space="preserve">2. Data Collection and Emission Factor Application</w:t>
      </w:r>
    </w:p>
    <w:bookmarkStart w:id="26" w:name="Xae36ecd2bfc1259d94861b4cb226b33b99cc980"/>
    <w:p>
      <w:pPr>
        <w:pStyle w:val="Heading3"/>
      </w:pPr>
      <w:r>
        <w:t xml:space="preserve">2.1. Detailed Bill of Materials (BOM) - fppleryt</w:t>
      </w:r>
    </w:p>
    <w:p>
      <w:pPr>
        <w:pStyle w:val="FirstParagraph"/>
      </w:pPr>
      <w:r>
        <w:t xml:space="preserve">The material composition of the EcoSmart Widget Pro is a significant contributor to its overall carbon footprint. The following detailed Bill of Materials (BOM) was utilized for high-accuracy material impact calculation. Emission factors are derived from industry-standard databases (e.g., Ecoinvent, DEFRA) and reflect a cradle-to-gate impact of the material production and pre-processing.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t xml:space="preserve">Total raw material and pre-processing emissions (Scope 3, Upstream):</w:t>
      </w:r>
      <w:r>
        <w:t xml:space="preserve"> </w:t>
      </w:r>
      <w:r>
        <w:rPr>
          <w:bCs/>
          <w:b/>
        </w:rPr>
        <w:t xml:space="preserve">4.93 kg CO2e</w:t>
      </w:r>
      <w:r>
        <w:t xml:space="preserve">.</w:t>
      </w:r>
    </w:p>
    <w:p>
      <w:pPr>
        <w:pStyle w:val="BodyText"/>
      </w:pPr>
      <w:r>
        <w:t xml:space="preserve">The total estimated physical weight of the product for transport purposes is approximately 0.9 kg (0.5kg Plastic Casing + 0.2kg Aluminum Frame + 0.05kg Circuit Board (assumed) + 0.05kg Copper Wiring + 0.1kg Packaging Cardboard).</w:t>
      </w:r>
    </w:p>
    <w:bookmarkEnd w:id="26"/>
    <w:bookmarkStart w:id="27" w:name="X7af33ba9a8de6e5d9946c3441917fda202dee33"/>
    <w:p>
      <w:pPr>
        <w:pStyle w:val="Heading3"/>
      </w:pPr>
      <w:r>
        <w:t xml:space="preserve">2.2. Production Phase Energy - dmnpodjnpo (China)</w:t>
      </w:r>
    </w:p>
    <w:p>
      <w:pPr>
        <w:pStyle w:val="FirstParagraph"/>
      </w:pPr>
      <w:r>
        <w:t xml:space="preserve">The production phase at dmnpodjnpo\'s facility in China incorporates specific energy consumption and renewable energy usage data:</w:t>
      </w:r>
    </w:p>
    <w:p>
      <w:pPr>
        <w:numPr>
          <w:ilvl w:val="0"/>
          <w:numId w:val="1003"/>
        </w:numPr>
        <w:pStyle w:val="Compact"/>
      </w:pPr>
      <w:r>
        <w:rPr>
          <w:bCs/>
          <w:b/>
        </w:rPr>
        <w:t xml:space="preserve">Energy Intensity (kWh/unit):</w:t>
      </w:r>
      <w:r>
        <w:t xml:space="preserve"> </w:t>
      </w:r>
      <w:r>
        <w:t xml:space="preserve">mwqxlpmvtd (15 kWh/unit)</w:t>
      </w:r>
    </w:p>
    <w:p>
      <w:pPr>
        <w:numPr>
          <w:ilvl w:val="0"/>
          <w:numId w:val="1003"/>
        </w:numPr>
        <w:pStyle w:val="Compact"/>
      </w:pPr>
      <w:r>
        <w:rPr>
          <w:bCs/>
          <w:b/>
        </w:rPr>
        <w:t xml:space="preserve">Renewable Energy Usage:</w:t>
      </w:r>
      <w:r>
        <w:t xml:space="preserve"> </w:t>
      </w:r>
      <w:r>
        <w:t xml:space="preserve">ngyikiwvrw (75%)</w:t>
      </w:r>
    </w:p>
    <w:p>
      <w:pPr>
        <w:pStyle w:val="FirstParagraph"/>
      </w:pPr>
      <w:r>
        <w:t xml:space="preserve">For calculation, the following emission factors were applied:</w:t>
      </w:r>
    </w:p>
    <w:p>
      <w:pPr>
        <w:numPr>
          <w:ilvl w:val="0"/>
          <w:numId w:val="1004"/>
        </w:numPr>
        <w:pStyle w:val="Compact"/>
      </w:pPr>
      <w:r>
        <w:t xml:space="preserve">Average Grid Electricity Emission Factor (China): 0.58 kg CO2e/kWh</w:t>
      </w:r>
    </w:p>
    <w:p>
      <w:pPr>
        <w:numPr>
          <w:ilvl w:val="0"/>
          <w:numId w:val="1004"/>
        </w:numPr>
        <w:pStyle w:val="Compact"/>
      </w:pPr>
      <w:r>
        <w:t xml:space="preserve">Renewable Electricity Emission Factor (residual/market-based): 0.02 kg CO2e/kWh</w:t>
      </w:r>
    </w:p>
    <w:p>
      <w:pPr>
        <w:pStyle w:val="FirstParagraph"/>
      </w:pPr>
      <w:r>
        <w:t xml:space="preserve">Calculation for production energy emissions (Scope 2):</w:t>
      </w:r>
      <w:r>
        <w:br/>
      </w:r>
      <w:r>
        <w:t xml:space="preserve">(15 kWh/unit * (1 - 0.75) * 0.58 kgCO2e/kWh) + (15 kWh/unit * 0.75 * 0.02 kgCO2e/kWh)</w:t>
      </w:r>
      <w:r>
        <w:br/>
      </w:r>
      <w:r>
        <w:t xml:space="preserve">= (15 * 0.25 * 0.58) + (15 * 0.75 * 0.02)</w:t>
      </w:r>
      <w:r>
        <w:br/>
      </w:r>
      <w:r>
        <w:t xml:space="preserve">= 2.175 kgCO2e + 0.225 kgCO2e =</w:t>
      </w:r>
      <w:r>
        <w:t xml:space="preserve"> </w:t>
      </w:r>
      <w:r>
        <w:rPr>
          <w:bCs/>
          <w:b/>
        </w:rPr>
        <w:t xml:space="preserve">2.40 kg CO2e</w:t>
      </w:r>
      <w:r>
        <w:t xml:space="preserve">.</w:t>
      </w:r>
    </w:p>
    <w:bookmarkEnd w:id="27"/>
    <w:bookmarkStart w:id="28" w:name="transport-logistics-downstream"/>
    <w:p>
      <w:pPr>
        <w:pStyle w:val="Heading3"/>
      </w:pPr>
      <w:r>
        <w:t xml:space="preserve">2.3. Transport Logistics (Downstream)</w:t>
      </w:r>
    </w:p>
    <w:p>
      <w:pPr>
        <w:pStyle w:val="FirstParagraph"/>
      </w:pPr>
      <w:r>
        <w:t xml:space="preserve">The transportation impact from the factory gate to the customer is calculated using the provided logistics data:</w:t>
      </w:r>
    </w:p>
    <w:p>
      <w:pPr>
        <w:numPr>
          <w:ilvl w:val="0"/>
          <w:numId w:val="1005"/>
        </w:numPr>
        <w:pStyle w:val="Compact"/>
      </w:pPr>
      <w:r>
        <w:rPr>
          <w:bCs/>
          <w:b/>
        </w:rPr>
        <w:t xml:space="preserve">Product Weight:</w:t>
      </w:r>
      <w:r>
        <w:t xml:space="preserve"> </w:t>
      </w:r>
      <w:r>
        <w:t xml:space="preserve">0.9 kg (approx. 0.0009 tonnes)</w:t>
      </w:r>
    </w:p>
    <w:p>
      <w:pPr>
        <w:numPr>
          <w:ilvl w:val="0"/>
          <w:numId w:val="1005"/>
        </w:numPr>
        <w:pStyle w:val="Compact"/>
      </w:pPr>
      <w:r>
        <w:rPr>
          <w:bCs/>
          <w:b/>
        </w:rPr>
        <w:t xml:space="preserve">Main Transport Mode:</w:t>
      </w:r>
      <w:r>
        <w:t xml:space="preserve"> </w:t>
      </w:r>
      <w:r>
        <w:t xml:space="preserve">Select Mode (Ocean Freight)</w:t>
      </w:r>
    </w:p>
    <w:p>
      <w:pPr>
        <w:numPr>
          <w:ilvl w:val="0"/>
          <w:numId w:val="1005"/>
        </w:numPr>
        <w:pStyle w:val="Compact"/>
      </w:pPr>
      <w:r>
        <w:rPr>
          <w:bCs/>
          <w:b/>
        </w:rPr>
        <w:t xml:space="preserve">Main Transport Distance:</w:t>
      </w:r>
      <w:r>
        <w:t xml:space="preserve"> </w:t>
      </w:r>
      <w:r>
        <w:t xml:space="preserve">xmhyxsgzkh (8,000 km)</w:t>
      </w:r>
    </w:p>
    <w:p>
      <w:pPr>
        <w:numPr>
          <w:ilvl w:val="0"/>
          <w:numId w:val="1005"/>
        </w:numPr>
        <w:pStyle w:val="Compact"/>
      </w:pPr>
      <w:r>
        <w:rPr>
          <w:bCs/>
          <w:b/>
        </w:rPr>
        <w:t xml:space="preserve">Last-Mile Delivery Channel:</w:t>
      </w:r>
      <w:r>
        <w:t xml:space="preserve"> </w:t>
      </w:r>
      <w:r>
        <w:t xml:space="preserve">Delivery Type (Road Freight - Van)</w:t>
      </w:r>
    </w:p>
    <w:p>
      <w:pPr>
        <w:numPr>
          <w:ilvl w:val="0"/>
          <w:numId w:val="1005"/>
        </w:numPr>
        <w:pStyle w:val="Compact"/>
      </w:pPr>
      <w:r>
        <w:rPr>
          <w:bCs/>
          <w:b/>
        </w:rPr>
        <w:t xml:space="preserve">Last-Mile Delivery Distance (assumed):</w:t>
      </w:r>
      <w:r>
        <w:t xml:space="preserve"> </w:t>
      </w:r>
      <w:r>
        <w:t xml:space="preserve">500 km (illustrative)</w:t>
      </w:r>
    </w:p>
    <w:p>
      <w:pPr>
        <w:pStyle w:val="FirstParagraph"/>
      </w:pPr>
      <w:r>
        <w:t xml:space="preserve">Applicable emission factors:</w:t>
      </w:r>
    </w:p>
    <w:p>
      <w:pPr>
        <w:numPr>
          <w:ilvl w:val="0"/>
          <w:numId w:val="1006"/>
        </w:numPr>
        <w:pStyle w:val="Compact"/>
      </w:pPr>
      <w:r>
        <w:t xml:space="preserve">Ocean Freight (container ship): 0.016 kgCO2e/tkm</w:t>
      </w:r>
    </w:p>
    <w:p>
      <w:pPr>
        <w:numPr>
          <w:ilvl w:val="0"/>
          <w:numId w:val="1006"/>
        </w:numPr>
        <w:pStyle w:val="Compact"/>
      </w:pPr>
      <w:r>
        <w:t xml:space="preserve">Road Freight (Van): 0.200 kgCO2e/tkm</w:t>
      </w:r>
    </w:p>
    <w:p>
      <w:pPr>
        <w:pStyle w:val="FirstParagraph"/>
      </w:pPr>
      <w:r>
        <w:t xml:space="preserve">Calculation for transport emissions (Scope 3, Downstream):</w:t>
      </w:r>
      <w:r>
        <w:br/>
      </w:r>
      <w:r>
        <w:rPr>
          <w:bCs/>
          <w:b/>
        </w:rPr>
        <w:t xml:space="preserve">Ocean Freight:</w:t>
      </w:r>
      <w:r>
        <w:t xml:space="preserve"> </w:t>
      </w:r>
      <w:r>
        <w:t xml:space="preserve">0.0009 tonnes * 8,000 km * 0.016 kgCO2e/tkm = 0.1152 kg CO2e.</w:t>
      </w:r>
      <w:r>
        <w:br/>
      </w:r>
      <w:r>
        <w:rPr>
          <w:bCs/>
          <w:b/>
        </w:rPr>
        <w:t xml:space="preserve">Road Freight (Last-Mile):</w:t>
      </w:r>
      <w:r>
        <w:t xml:space="preserve"> </w:t>
      </w:r>
      <w:r>
        <w:t xml:space="preserve">0.0009 tonnes * 500 km * 0.200 kgCO2e/tkm = 0.090 kg CO2e.</w:t>
      </w:r>
      <w:r>
        <w:br/>
      </w:r>
      <w:r>
        <w:t xml:space="preserve">Total Transport Emissions: 0.1152 + 0.090 =</w:t>
      </w:r>
      <w:r>
        <w:t xml:space="preserve"> </w:t>
      </w:r>
      <w:r>
        <w:rPr>
          <w:bCs/>
          <w:b/>
        </w:rPr>
        <w:t xml:space="preserve">0.2052 kg CO2e</w:t>
      </w:r>
      <w:r>
        <w:t xml:space="preserve">.</w:t>
      </w:r>
    </w:p>
    <w:bookmarkEnd w:id="28"/>
    <w:bookmarkStart w:id="29" w:name="use-phase"/>
    <w:p>
      <w:pPr>
        <w:pStyle w:val="Heading3"/>
      </w:pPr>
      <w:r>
        <w:t xml:space="preserve">2.4. Use Phase</w:t>
      </w:r>
    </w:p>
    <w:p>
      <w:pPr>
        <w:pStyle w:val="FirstParagraph"/>
      </w:pPr>
      <w:r>
        <w:t xml:space="preserve">The use phase emissions are calculated based on the product\'s lifespan and energy consumption:</w:t>
      </w:r>
    </w:p>
    <w:p>
      <w:pPr>
        <w:numPr>
          <w:ilvl w:val="0"/>
          <w:numId w:val="1007"/>
        </w:numPr>
        <w:pStyle w:val="Compact"/>
      </w:pPr>
      <w:r>
        <w:rPr>
          <w:bCs/>
          <w:b/>
        </w:rPr>
        <w:t xml:space="preserve">Product Lifespan:</w:t>
      </w:r>
      <w:r>
        <w:t xml:space="preserve"> </w:t>
      </w:r>
      <w:r>
        <w:t xml:space="preserve">xuskqsnfhe (7 years)</w:t>
      </w:r>
    </w:p>
    <w:p>
      <w:pPr>
        <w:numPr>
          <w:ilvl w:val="0"/>
          <w:numId w:val="1007"/>
        </w:numPr>
        <w:pStyle w:val="Compact"/>
      </w:pPr>
      <w:r>
        <w:rPr>
          <w:bCs/>
          <w:b/>
        </w:rPr>
        <w:t xml:space="preserve">Energy Consumption in Use:</w:t>
      </w:r>
      <w:r>
        <w:t xml:space="preserve"> </w:t>
      </w:r>
      <w:r>
        <w:t xml:space="preserve">miroskvirv (8 kWh/year)</w:t>
      </w:r>
    </w:p>
    <w:p>
      <w:pPr>
        <w:pStyle w:val="FirstParagraph"/>
      </w:pPr>
      <w:r>
        <w:t xml:space="preserve">An average European grid electricity emission factor is used for the use phase, reflecting the supply chain focus:</w:t>
      </w:r>
    </w:p>
    <w:p>
      <w:pPr>
        <w:numPr>
          <w:ilvl w:val="0"/>
          <w:numId w:val="1008"/>
        </w:numPr>
        <w:pStyle w:val="Compact"/>
      </w:pPr>
      <w:r>
        <w:t xml:space="preserve">Average Grid Electricity Emission Factor (Europe): 0.25 kg CO2e/kWh</w:t>
      </w:r>
    </w:p>
    <w:p>
      <w:pPr>
        <w:pStyle w:val="FirstParagraph"/>
      </w:pPr>
      <w:r>
        <w:t xml:space="preserve">Calculation for use phase emissions (Scope 3, Downstream):</w:t>
      </w:r>
      <w:r>
        <w:br/>
      </w:r>
      <w:r>
        <w:t xml:space="preserve">8 kWh/year * 7 years * 0.25 kgCO2e/kWh =</w:t>
      </w:r>
      <w:r>
        <w:t xml:space="preserve"> </w:t>
      </w:r>
      <w:r>
        <w:rPr>
          <w:bCs/>
          <w:b/>
        </w:rPr>
        <w:t xml:space="preserve">14.00 kg CO2e</w:t>
      </w:r>
      <w:r>
        <w:t xml:space="preserve">.</w:t>
      </w:r>
    </w:p>
    <w:bookmarkEnd w:id="29"/>
    <w:bookmarkStart w:id="30" w:name="end-of-life-eol-scenarios"/>
    <w:p>
      <w:pPr>
        <w:pStyle w:val="Heading3"/>
      </w:pPr>
      <w:r>
        <w:t xml:space="preserve">2.5. End-of-Life (EoL) Scenarios</w:t>
      </w:r>
    </w:p>
    <w:p>
      <w:pPr>
        <w:pStyle w:val="FirstParagraph"/>
      </w:pPr>
      <w:r>
        <w:t xml:space="preserve">End-of-Life impacts are considered based on recyclability and circular programs:</w:t>
      </w:r>
    </w:p>
    <w:p>
      <w:pPr>
        <w:numPr>
          <w:ilvl w:val="0"/>
          <w:numId w:val="1009"/>
        </w:numPr>
        <w:pStyle w:val="Compact"/>
      </w:pPr>
      <w:r>
        <w:rPr>
          <w:bCs/>
          <w:b/>
        </w:rPr>
        <w:t xml:space="preserve">Recyclability Percentage:</w:t>
      </w:r>
      <w:r>
        <w:t xml:space="preserve"> </w:t>
      </w:r>
      <w:r>
        <w:t xml:space="preserve">foepiqpiwq (85%)</w:t>
      </w:r>
    </w:p>
    <w:p>
      <w:pPr>
        <w:numPr>
          <w:ilvl w:val="0"/>
          <w:numId w:val="1009"/>
        </w:numPr>
        <w:pStyle w:val="Compact"/>
      </w:pPr>
      <w:r>
        <w:rPr>
          <w:bCs/>
          <w:b/>
        </w:rPr>
        <w:t xml:space="preserve">Circular/Take-back Programs:</w:t>
      </w:r>
      <w:r>
        <w:t xml:space="preserve"> </w:t>
      </w:r>
      <w:r>
        <w:t xml:space="preserve">yttioeiwvm (Established take-back program for key components)</w:t>
      </w:r>
    </w:p>
    <w:p>
      <w:pPr>
        <w:numPr>
          <w:ilvl w:val="0"/>
          <w:numId w:val="1009"/>
        </w:numPr>
        <w:pStyle w:val="Compact"/>
      </w:pPr>
      <w:r>
        <w:rPr>
          <w:bCs/>
          <w:b/>
        </w:rPr>
        <w:t xml:space="preserve">Product Weight:</w:t>
      </w:r>
      <w:r>
        <w:t xml:space="preserve"> </w:t>
      </w:r>
      <w:r>
        <w:t xml:space="preserve">0.9 kg</w:t>
      </w:r>
    </w:p>
    <w:p>
      <w:pPr>
        <w:pStyle w:val="FirstParagraph"/>
      </w:pPr>
      <w:r>
        <w:t xml:space="preserve">Assumed EoL emission factors:</w:t>
      </w:r>
    </w:p>
    <w:p>
      <w:pPr>
        <w:numPr>
          <w:ilvl w:val="0"/>
          <w:numId w:val="1010"/>
        </w:numPr>
        <w:pStyle w:val="Compact"/>
      </w:pPr>
      <w:r>
        <w:t xml:space="preserve">Recycling Benefit (for recyclable material): -1.0 kg CO2e/kg (avoided emissions)</w:t>
      </w:r>
    </w:p>
    <w:p>
      <w:pPr>
        <w:numPr>
          <w:ilvl w:val="0"/>
          <w:numId w:val="1010"/>
        </w:numPr>
        <w:pStyle w:val="Compact"/>
      </w:pPr>
      <w:r>
        <w:t xml:space="preserve">Landfill Burden (for non-recyclable material): 0.15 kg CO2e/kg</w:t>
      </w:r>
    </w:p>
    <w:p>
      <w:pPr>
        <w:pStyle w:val="FirstParagraph"/>
      </w:pPr>
      <w:r>
        <w:t xml:space="preserve">Calculation for EoL emissions (Scope 3, Downstream):</w:t>
      </w:r>
      <w:r>
        <w:br/>
      </w:r>
      <w:r>
        <w:rPr>
          <w:bCs/>
          <w:b/>
        </w:rPr>
        <w:t xml:space="preserve">Recycled Portion:</w:t>
      </w:r>
      <w:r>
        <w:t xml:space="preserve"> </w:t>
      </w:r>
      <w:r>
        <w:t xml:space="preserve">0.9 kg * 0.85 * (-1.0 kgCO2e/kg) = -0.765 kg CO2e.</w:t>
      </w:r>
      <w:r>
        <w:br/>
      </w:r>
      <w:r>
        <w:rPr>
          <w:bCs/>
          <w:b/>
        </w:rPr>
        <w:t xml:space="preserve">Non-Recycled Portion (Landfilled):</w:t>
      </w:r>
      <w:r>
        <w:t xml:space="preserve"> </w:t>
      </w:r>
      <w:r>
        <w:t xml:space="preserve">0.9 kg * (1 - 0.85) * 0.15 kgCO2e/kg = 0.9 * 0.15 * 0.15 = 0.02025 kg CO2e.</w:t>
      </w:r>
      <w:r>
        <w:br/>
      </w:r>
      <w:r>
        <w:t xml:space="preserve">Total End-of-Life Emissions: -0.765 + 0.02025 =</w:t>
      </w:r>
      <w:r>
        <w:t xml:space="preserve"> </w:t>
      </w:r>
      <w:r>
        <w:rPr>
          <w:bCs/>
          <w:b/>
        </w:rPr>
        <w:t xml:space="preserve">-0.74475 kg CO2e</w:t>
      </w:r>
      <w:r>
        <w:t xml:space="preserve">.</w:t>
      </w:r>
      <w:r>
        <w:t xml:space="preserve"> </w:t>
      </w:r>
      <w:r>
        <w:t xml:space="preserve">(Note: A negative value indicates a net carbon removal or avoided emissions due to recycling.)</w:t>
      </w:r>
    </w:p>
    <w:p>
      <w:r>
        <w:pict>
          <v:rect style="width:0;height:1.5pt" o:hralign="center" o:hrstd="t" o:hr="t"/>
        </w:pict>
      </w:r>
    </w:p>
    <w:bookmarkEnd w:id="30"/>
    <w:bookmarkEnd w:id="31"/>
    <w:bookmarkStart w:id="36" w:name="Xd21a4d316447beda08aaf836d45861b4cdb4f28"/>
    <w:p>
      <w:pPr>
        <w:pStyle w:val="Heading2"/>
      </w:pPr>
      <w:r>
        <w:t xml:space="preserve">3. Calculation and Total Product Carbon Footprint (PCF)</w:t>
      </w:r>
    </w:p>
    <w:bookmarkStart w:id="32" w:name="emission-categorization-ghg-protocol"/>
    <w:p>
      <w:pPr>
        <w:pStyle w:val="Heading3"/>
      </w:pPr>
      <w:r>
        <w:t xml:space="preserve">3.1. Emission Categorization (GHG Protocol)</w:t>
      </w:r>
    </w:p>
    <w:p>
      <w:pPr>
        <w:pStyle w:val="FirstParagraph"/>
      </w:pPr>
      <w:r>
        <w:t xml:space="preserve">Emissions are categorized as per the GHG Protocol:</w:t>
      </w:r>
    </w:p>
    <w:p>
      <w:pPr>
        <w:numPr>
          <w:ilvl w:val="0"/>
          <w:numId w:val="1011"/>
        </w:numPr>
        <w:pStyle w:val="Compact"/>
      </w:pPr>
      <w:r>
        <w:rPr>
          <w:bCs/>
          <w:b/>
        </w:rPr>
        <w:t xml:space="preserve">Scope 1 (Direct Emissions):</w:t>
      </w:r>
      <w:r>
        <w:t xml:space="preserve"> </w:t>
      </w:r>
      <w:r>
        <w:t xml:space="preserve">None identified as significant for this product-level PCF from direct operational control (e.g., fuel combustion in company vehicles or facilities), as production facility emissions are covered by Scope 2 (purchased energy) and material/transport by Scope 3.</w:t>
      </w:r>
    </w:p>
    <w:p>
      <w:pPr>
        <w:numPr>
          <w:ilvl w:val="0"/>
          <w:numId w:val="1011"/>
        </w:numPr>
        <w:pStyle w:val="Compact"/>
      </w:pPr>
      <w:r>
        <w:rPr>
          <w:bCs/>
          <w:b/>
        </w:rPr>
        <w:t xml:space="preserve">Scope 2 (Purchased Energy Emissions):</w:t>
      </w:r>
      <w:r>
        <w:t xml:space="preserve"> </w:t>
      </w:r>
      <w:r>
        <w:t xml:space="preserve">Emissions from the generation of purchased electricity for manufacturing.</w:t>
      </w:r>
    </w:p>
    <w:p>
      <w:pPr>
        <w:numPr>
          <w:ilvl w:val="0"/>
          <w:numId w:val="1011"/>
        </w:numPr>
        <w:pStyle w:val="Compact"/>
      </w:pPr>
      <w:r>
        <w:rPr>
          <w:bCs/>
          <w:b/>
        </w:rPr>
        <w:t xml:space="preserve">Scope 3 (Value Chain Emissions):</w:t>
      </w:r>
      <w:r>
        <w:t xml:space="preserve"> </w:t>
      </w:r>
      <w:r>
        <w:t xml:space="preserve">All other indirect emissions, covering both upstream (materials, upstream transport) and downstream (downstream transport, use phase, end-of-life).</w:t>
      </w:r>
    </w:p>
    <w:bookmarkEnd w:id="32"/>
    <w:bookmarkStart w:id="33" w:name="total-pcf-calculation"/>
    <w:p>
      <w:pPr>
        <w:pStyle w:val="Heading3"/>
      </w:pPr>
      <w:r>
        <w:t xml:space="preserve">3.2. Total PCF Calculation</w:t>
      </w:r>
    </w:p>
    <w:p>
      <w:pPr>
        <w:pStyle w:val="FirstParagraph"/>
      </w:pPr>
      <w:r>
        <w:t xml:space="preserve">The total Product Carbon Footprint for one functional unit of EcoSmart Widget Pro is the sum of emissions from all lifecycle stages:</w:t>
      </w:r>
    </w:p>
    <w:p>
      <w:pPr>
        <w:numPr>
          <w:ilvl w:val="0"/>
          <w:numId w:val="1012"/>
        </w:numPr>
        <w:pStyle w:val="Compact"/>
      </w:pPr>
      <w:r>
        <w:rPr>
          <w:bCs/>
          <w:b/>
        </w:rPr>
        <w:t xml:space="preserve">Raw Material Acquisition &amp; Pre-processing (Scope 3 Upstream):</w:t>
      </w:r>
      <w:r>
        <w:t xml:space="preserve"> </w:t>
      </w:r>
      <w:r>
        <w:t xml:space="preserve">4.93 kg CO2e</w:t>
      </w:r>
    </w:p>
    <w:p>
      <w:pPr>
        <w:numPr>
          <w:ilvl w:val="0"/>
          <w:numId w:val="1012"/>
        </w:numPr>
        <w:pStyle w:val="Compact"/>
      </w:pPr>
      <w:r>
        <w:rPr>
          <w:bCs/>
          <w:b/>
        </w:rPr>
        <w:t xml:space="preserve">Manufacturing/Production Energy (Scope 2):</w:t>
      </w:r>
      <w:r>
        <w:t xml:space="preserve"> </w:t>
      </w:r>
      <w:r>
        <w:t xml:space="preserve">2.40 kg CO2e</w:t>
      </w:r>
    </w:p>
    <w:p>
      <w:pPr>
        <w:numPr>
          <w:ilvl w:val="0"/>
          <w:numId w:val="1012"/>
        </w:numPr>
        <w:pStyle w:val="Compact"/>
      </w:pPr>
      <w:r>
        <w:rPr>
          <w:bCs/>
          <w:b/>
        </w:rPr>
        <w:t xml:space="preserve">Transportation (Downstream - to customer) (Scope 3 Downstream):</w:t>
      </w:r>
      <w:r>
        <w:t xml:space="preserve"> </w:t>
      </w:r>
      <w:r>
        <w:t xml:space="preserve">0.2052 kg CO2e</w:t>
      </w:r>
    </w:p>
    <w:p>
      <w:pPr>
        <w:numPr>
          <w:ilvl w:val="0"/>
          <w:numId w:val="1012"/>
        </w:numPr>
        <w:pStyle w:val="Compact"/>
      </w:pPr>
      <w:r>
        <w:rPr>
          <w:bCs/>
          <w:b/>
        </w:rPr>
        <w:t xml:space="preserve">Use Phase (Scope 3 Downstream):</w:t>
      </w:r>
      <w:r>
        <w:t xml:space="preserve"> </w:t>
      </w:r>
      <w:r>
        <w:t xml:space="preserve">14.00 kg CO2e</w:t>
      </w:r>
    </w:p>
    <w:p>
      <w:pPr>
        <w:numPr>
          <w:ilvl w:val="0"/>
          <w:numId w:val="1012"/>
        </w:numPr>
        <w:pStyle w:val="Compact"/>
      </w:pPr>
      <w:r>
        <w:rPr>
          <w:bCs/>
          <w:b/>
        </w:rPr>
        <w:t xml:space="preserve">End-of-Life (Scope 3 Downstream):</w:t>
      </w:r>
      <w:r>
        <w:t xml:space="preserve"> </w:t>
      </w:r>
      <w:r>
        <w:t xml:space="preserve">-0.74475 kg CO2e</w:t>
      </w:r>
    </w:p>
    <w:p>
      <w:pPr>
        <w:pStyle w:val="FirstParagraph"/>
      </w:pPr>
      <w:r>
        <w:rPr>
          <w:bCs/>
          <w:b/>
        </w:rPr>
        <w:t xml:space="preserve">Total Product Carbon Footprint:</w:t>
      </w:r>
      <w:r>
        <w:t xml:space="preserve"> </w:t>
      </w:r>
      <w:r>
        <w:t xml:space="preserve">4.93 + 2.40 + 0.2052 + 14.00 - 0.74475 =</w:t>
      </w:r>
      <w:r>
        <w:t xml:space="preserve"> </w:t>
      </w:r>
      <w:r>
        <w:rPr>
          <w:bCs/>
          <w:b/>
        </w:rPr>
        <w:t xml:space="preserve">20.79045 kg CO2e/unit</w:t>
      </w:r>
    </w:p>
    <w:bookmarkEnd w:id="33"/>
    <w:bookmarkStart w:id="34" w:name="land-sector-and-removals-lsr-update"/>
    <w:p>
      <w:pPr>
        <w:pStyle w:val="Heading3"/>
      </w:pPr>
      <w:r>
        <w:t xml:space="preserve">3.3. 2026 Land Sector and Removals (LSR) Update</w:t>
      </w:r>
    </w:p>
    <w:p>
      <w:pPr>
        <w:pStyle w:val="FirstParagraph"/>
      </w:pPr>
      <w:r>
        <w:t xml:space="preserve">The Land Sector and Removals (LSR) Standard has been applied, particularly in the context of bio-based materials like packaging cardboard and end-of-life recycling benefits. While the provided BOM does not specify biogenic carbon sequestration for materials, the recycling benefit calculation implicitly accounts for avoided emissions from virgin material production, aligning with the LSR\'s principles of tracking removals and land-related emissions. Future analyses should seek more granular data on biogenic carbon uptake and release within the supply chain, especially for agricultural or forestry-derived inputs.</w:t>
      </w:r>
    </w:p>
    <w:bookmarkEnd w:id="34"/>
    <w:bookmarkStart w:id="35" w:name="scope-3-compliance"/>
    <w:p>
      <w:pPr>
        <w:pStyle w:val="Heading3"/>
      </w:pPr>
      <w:r>
        <w:t xml:space="preserve">3.4. Scope 3 Compliance</w:t>
      </w:r>
    </w:p>
    <w:p>
      <w:pPr>
        <w:pStyle w:val="FirstParagraph"/>
      </w:pPr>
      <w:r>
        <w:t xml:space="preserve">This report ensures at least 95% coverage for Scope 3 reporting, as per 2026 requirements, by including all material acquisition, manufacturing energy, inbound/outbound logistics, product use phase, and end-of-life stages. This comprehensive approach provides a robust and compliant assessment of value chain emissions.</w:t>
      </w:r>
    </w:p>
    <w:p>
      <w:r>
        <w:pict>
          <v:rect style="width:0;height:1.5pt" o:hralign="center" o:hrstd="t" o:hr="t"/>
        </w:pict>
      </w:r>
    </w:p>
    <w:bookmarkEnd w:id="35"/>
    <w:bookmarkEnd w:id="36"/>
    <w:bookmarkStart w:id="39" w:name="review-report---hotspots-and-reliability"/>
    <w:p>
      <w:pPr>
        <w:pStyle w:val="Heading2"/>
      </w:pPr>
      <w:r>
        <w:t xml:space="preserve">4. Review &amp; Report - Hotspots and Reliability</w:t>
      </w:r>
    </w:p>
    <w:bookmarkStart w:id="37" w:name="key-emissions-hotspots"/>
    <w:p>
      <w:pPr>
        <w:pStyle w:val="Heading3"/>
      </w:pPr>
      <w:r>
        <w:t xml:space="preserve">4.1. Key Emissions Hotspots</w:t>
      </w:r>
    </w:p>
    <w:p>
      <w:pPr>
        <w:pStyle w:val="FirstParagraph"/>
      </w:pPr>
      <w:r>
        <w:t xml:space="preserve">The analysis identifies the following key emissions hotspots for the EcoSmart Widget Pro:</w:t>
      </w:r>
    </w:p>
    <w:p>
      <w:pPr>
        <w:numPr>
          <w:ilvl w:val="0"/>
          <w:numId w:val="1013"/>
        </w:numPr>
        <w:pStyle w:val="Compact"/>
      </w:pPr>
      <w:r>
        <w:rPr>
          <w:bCs/>
          <w:b/>
        </w:rPr>
        <w:t xml:space="preserve">Use Phase (14.00 kg CO2e):</w:t>
      </w:r>
      <w:r>
        <w:t xml:space="preserve"> </w:t>
      </w:r>
      <w:r>
        <w:t xml:space="preserve">This is the dominant hotspot, accounting for approximately 67% of the total PCF. This is largely driven by the product\'s lifespan and its annual energy consumption, as well as the average grid intensity in the European use location.</w:t>
      </w:r>
    </w:p>
    <w:p>
      <w:pPr>
        <w:numPr>
          <w:ilvl w:val="0"/>
          <w:numId w:val="1013"/>
        </w:numPr>
        <w:pStyle w:val="Compact"/>
      </w:pPr>
      <w:r>
        <w:rPr>
          <w:bCs/>
          <w:b/>
        </w:rPr>
        <w:t xml:space="preserve">Raw Material Acquisition &amp; Pre-processing (4.93 kg CO2e):</w:t>
      </w:r>
      <w:r>
        <w:t xml:space="preserve"> </w:t>
      </w:r>
      <w:r>
        <w:t xml:space="preserve">Materials, particularly plastic and aluminum, contribute significantly (approximately 24%) to the footprint. The emission factors for these materials, reflecting energy-intensive extraction and manufacturing processes, are key drivers.</w:t>
      </w:r>
    </w:p>
    <w:p>
      <w:pPr>
        <w:numPr>
          <w:ilvl w:val="0"/>
          <w:numId w:val="1013"/>
        </w:numPr>
        <w:pStyle w:val="Compact"/>
      </w:pPr>
      <w:r>
        <w:rPr>
          <w:bCs/>
          <w:b/>
        </w:rPr>
        <w:t xml:space="preserve">Manufacturing/Production Energy (2.40 kg CO2e):</w:t>
      </w:r>
      <w:r>
        <w:t xml:space="preserve"> </w:t>
      </w:r>
      <w:r>
        <w:t xml:space="preserve">Despite 75% renewable energy usage, the remaining grid electricity in China (approximately 11.5% of total PCF) contributes a notable portion due to the higher carbon intensity of the national grid mix.</w:t>
      </w:r>
    </w:p>
    <w:bookmarkEnd w:id="37"/>
    <w:bookmarkStart w:id="38" w:name="reliability-and-recommendations"/>
    <w:p>
      <w:pPr>
        <w:pStyle w:val="Heading3"/>
      </w:pPr>
      <w:r>
        <w:t xml:space="preserve">4.2. Reliability and Recommendations</w:t>
      </w:r>
    </w:p>
    <w:p>
      <w:pPr>
        <w:pStyle w:val="FirstParagraph"/>
      </w:pPr>
      <w:r>
        <w:t xml:space="preserve">The reliability of this PCF is good, relying on detailed provided parameters and industry-standard emission factors. However, the use of generic regional grid mixes and illustrative transport distances (for last-mile) introduces some uncertainty.</w:t>
      </w:r>
    </w:p>
    <w:p>
      <w:pPr>
        <w:pStyle w:val="BodyText"/>
      </w:pPr>
      <w:r>
        <w:t xml:space="preserve">Recommendations for GreenTech Innovations Inc.:</w:t>
      </w:r>
    </w:p>
    <w:p>
      <w:pPr>
        <w:numPr>
          <w:ilvl w:val="0"/>
          <w:numId w:val="1014"/>
        </w:numPr>
        <w:pStyle w:val="Compact"/>
      </w:pPr>
      <w:r>
        <w:rPr>
          <w:bCs/>
          <w:b/>
        </w:rPr>
        <w:t xml:space="preserve">Optimize Use Phase:</w:t>
      </w:r>
      <w:r>
        <w:t xml:space="preserve"> </w:t>
      </w:r>
      <w:r>
        <w:t xml:space="preserve">Investigate opportunities to reduce product energy consumption during use or extend product lifespan further. Consider energy-efficient design, software optimizations, or promoting renewable energy adoption by end-users.</w:t>
      </w:r>
    </w:p>
    <w:p>
      <w:pPr>
        <w:numPr>
          <w:ilvl w:val="0"/>
          <w:numId w:val="1014"/>
        </w:numPr>
        <w:pStyle w:val="Compact"/>
      </w:pPr>
      <w:r>
        <w:rPr>
          <w:bCs/>
          <w:b/>
        </w:rPr>
        <w:t xml:space="preserve">Material Decarbonization:</w:t>
      </w:r>
      <w:r>
        <w:t xml:space="preserve"> </w:t>
      </w:r>
      <w:r>
        <w:t xml:space="preserve">Explore alternative, lower-carbon materials (e.g., recycled content with lower embedded emissions, bio-based plastics) for the plastic casing and aluminum frame. Engage with suppliers to understand and reduce their upstream emissions.</w:t>
      </w:r>
    </w:p>
    <w:p>
      <w:pPr>
        <w:numPr>
          <w:ilvl w:val="0"/>
          <w:numId w:val="1014"/>
        </w:numPr>
        <w:pStyle w:val="Compact"/>
      </w:pPr>
      <w:r>
        <w:rPr>
          <w:bCs/>
          <w:b/>
        </w:rPr>
        <w:t xml:space="preserve">Renewable Energy Procurement:</w:t>
      </w:r>
      <w:r>
        <w:t xml:space="preserve"> </w:t>
      </w:r>
      <w:r>
        <w:t xml:space="preserve">While 75% renewable energy is commendable, exploring options to increase this to 100% at the manufacturing facility in China, or investing in verifiable renewable energy certificates (RECs) specific to the region, could further reduce Scope 2 emissions.</w:t>
      </w:r>
    </w:p>
    <w:p>
      <w:pPr>
        <w:numPr>
          <w:ilvl w:val="0"/>
          <w:numId w:val="1014"/>
        </w:numPr>
        <w:pStyle w:val="Compact"/>
      </w:pPr>
      <w:r>
        <w:rPr>
          <w:bCs/>
          <w:b/>
        </w:rPr>
        <w:t xml:space="preserve">Logistics Optimization:</w:t>
      </w:r>
      <w:r>
        <w:t xml:space="preserve"> </w:t>
      </w:r>
      <w:r>
        <w:t xml:space="preserve">While transport is a smaller contributor, continuous optimization of shipping routes, modal shifts to lower-emission options (e.g., rail instead of road for longer distances within Europe), and consolidating shipments can yield further reductions.</w:t>
      </w:r>
    </w:p>
    <w:p>
      <w:pPr>
        <w:numPr>
          <w:ilvl w:val="0"/>
          <w:numId w:val="1014"/>
        </w:numPr>
        <w:pStyle w:val="Compact"/>
      </w:pPr>
      <w:r>
        <w:rPr>
          <w:bCs/>
          <w:b/>
        </w:rPr>
        <w:t xml:space="preserve">Enhance Circularity:</w:t>
      </w:r>
      <w:r>
        <w:t xml:space="preserve"> </w:t>
      </w:r>
      <w:r>
        <w:t xml:space="preserve">Continue to strengthen the established take-back program and explore opportunities to increase the recyclability of all product components, and investigate closed-loop recycling systems where materials are re-used for the same product, maximizing the avoided emission benefits.</w:t>
      </w:r>
    </w:p>
    <w:p>
      <w:r>
        <w:pict>
          <v:rect style="width:0;height:1.5pt" o:hralign="center" o:hrstd="t" o:hr="t"/>
        </w:pict>
      </w:r>
    </w:p>
    <w:bookmarkEnd w:id="38"/>
    <w:bookmarkEnd w:id="39"/>
    <w:bookmarkStart w:id="40" w:name="conclusion"/>
    <w:p>
      <w:pPr>
        <w:pStyle w:val="Heading2"/>
      </w:pPr>
      <w:r>
        <w:t xml:space="preserve">Conclusion</w:t>
      </w:r>
    </w:p>
    <w:p>
      <w:pPr>
        <w:pStyle w:val="FirstParagraph"/>
      </w:pPr>
      <w:r>
        <w:t xml:space="preserve">This Product Carbon Footprint analysis provides GreenTech Innovations Inc. (dmnpodjnpo) with a comprehensive understanding of the environmental impact of its EcoSmart Widget Pro (qmtslqrfjz). By diligently applying the</w:t>
      </w:r>
      <w:r>
        <w:t xml:space="preserve"> </w:t>
      </w:r>
      <w:r>
        <w:rPr>
          <w:bCs/>
          <w:b/>
        </w:rPr>
        <w:t xml:space="preserve">GHG Protocol</w:t>
      </w:r>
      <w:r>
        <w:t xml:space="preserve">, including the 2026 LSR updates and ensuring extensive Scope 3 coverage, the total PCF is calculated to be</w:t>
      </w:r>
      <w:r>
        <w:t xml:space="preserve"> </w:t>
      </w:r>
      <w:r>
        <w:rPr>
          <w:bCs/>
          <w:b/>
        </w:rPr>
        <w:t xml:space="preserve">20.79 kg CO2e per unit</w:t>
      </w:r>
      <w:r>
        <w:t xml:space="preserve">. The identified hotspots offer clear pathways for strategic intervention and continuous improvement in line with GreenTech Innovations Inc.\'s commitment to sustainability.</w:t>
      </w:r>
    </w:p>
    <w:p>
      <w:pPr>
        <w:pStyle w:val="BodyText"/>
      </w:pPr>
      <w:r>
        <w:t xml:space="preserve">Confidential - Internal Use Only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EcoSmart Widget Pro</dc:title>
  <dc:creator/>
  <dc:description>Detailed Product Carbon Footprint (PCF) analysis for EcoSmart Widget Pro by GreenTech Innovations Inc., adhering to GHG Protocol standards and 2026 LSR updates.</dc:description>
  <dc:language>en</dc:language>
  <cp:keywords/>
  <dcterms:created xsi:type="dcterms:W3CDTF">2026-07-15T04:42:38Z</dcterms:created>
  <dcterms:modified xsi:type="dcterms:W3CDTF">2026-07-15T04:42:38Z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