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Eco-Widget</w:t>
      </w:r>
      <w:r>
        <w:t xml:space="preserve"> </w:t>
      </w:r>
      <w:r>
        <w:t xml:space="preserve">3000</w:t>
      </w:r>
      <w:r>
        <w:t xml:space="preserve"> </w:t>
      </w:r>
      <w:r>
        <w:t xml:space="preserve">(noytozwtuk)</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eco-widget-3000-noytozwtuk"/>
    <w:p>
      <w:pPr>
        <w:pStyle w:val="Heading2"/>
      </w:pPr>
      <w:r>
        <w:t xml:space="preserve">Product: Eco-Widget 3000 (noytozwtuk)</w:t>
      </w:r>
    </w:p>
    <w:p>
      <w:pPr>
        <w:pStyle w:val="FirstParagraph"/>
      </w:pPr>
      <w:r>
        <w:t xml:space="preserve">**Protocol Data (Accounting Standard):** GHG Protocol</w:t>
      </w:r>
    </w:p>
    <w:p>
      <w:pPr>
        <w:pStyle w:val="BodyText"/>
      </w:pPr>
      <w:r>
        <w:t xml:space="preserve">**Name of the Company:** wmsdrzvsfr</w:t>
      </w:r>
    </w:p>
    <w:p>
      <w:pPr>
        <w:pStyle w:val="BodyText"/>
      </w:pPr>
      <w:r>
        <w:t xml:space="preserve">**Senior Sustainability Consultant:** pyonyeqlje</w:t>
      </w:r>
    </w:p>
    <w:p>
      <w:pPr>
        <w:pStyle w:val="BodyText"/>
      </w:pPr>
      <w:r>
        <w:t xml:space="preserve">Disclaimer: This report is generated based on available data and industry standards. While efforts have been made to ensure accuracy and adherence to the GHG Protocol, results may vary with primary data availability and methodological refinements.</w:t>
      </w:r>
    </w:p>
    <w:bookmarkEnd w:id="20"/>
    <w:bookmarkEnd w:id="21"/>
    <w:p>
      <w:pPr>
        <w:pStyle w:val="BodyText"/>
      </w:pPr>
      <w:r>
        <w:t xml:space="preserve">Product Carbon Footprint (PCF) Analysis Report for Eco-Widget 3000 (noytozwtuk)</w:t>
      </w:r>
    </w:p>
    <w:p>
      <w:pPr>
        <w:pStyle w:val="BodyText"/>
      </w:pPr>
      <w:r>
        <w:t xml:space="preserve">Generated Date: May 26, 2026</w:t>
      </w:r>
    </w:p>
    <w:bookmarkStart w:id="22" w:name="executive-summary"/>
    <w:p>
      <w:pPr>
        <w:pStyle w:val="Heading2"/>
      </w:pPr>
      <w:r>
        <w:t xml:space="preserve">Executive Summary</w:t>
      </w:r>
    </w:p>
    <w:p>
      <w:pPr>
        <w:pStyle w:val="FirstParagraph"/>
      </w:pPr>
      <w:r>
        <w:t xml:space="preserve">This report presents a high-detail Product Carbon Footprint (PCF) analysis for the Eco-Widget 3000 (noytozwtuk), manufactured by wmsdrzvsfr. The analysis was conducted by pyonyeqlje, Senior Sustainability Consultant, in accordance with the Greenhouse Gas (GHG) Protocol. The total carbon footprint for the Eco-Widget 3000 is calculated to be</w:t>
      </w:r>
      <w:r>
        <w:t xml:space="preserve"> </w:t>
      </w:r>
      <w:r>
        <w:rPr>
          <w:bCs/>
          <w:b/>
        </w:rPr>
        <w:t xml:space="preserve">53.63 kg CO2e per functional unit</w:t>
      </w:r>
      <w:r>
        <w:t xml:space="preserve">, with the Use Phase being the most significant contributor. This report identifies emission hotspots across the product\'s lifecycle and provides a robust foundation for targeted decarbonization strategies.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scoping phase establishes the foundational parameters for the Product Carbon Footprint (PCF) analysis of the Eco-Widget 3000.</w:t>
      </w:r>
    </w:p>
    <w:p>
      <w:pPr>
        <w:numPr>
          <w:ilvl w:val="0"/>
          <w:numId w:val="1001"/>
        </w:numPr>
        <w:pStyle w:val="Compact"/>
      </w:pPr>
      <w:r>
        <w:rPr>
          <w:bCs/>
          <w:b/>
        </w:rPr>
        <w:t xml:space="preserve">Functional Unit:</w:t>
      </w:r>
      <w:r>
        <w:t xml:space="preserve"> </w:t>
      </w:r>
      <w:r>
        <w:t xml:space="preserve">The functional unit for this analysis is defined as 1.0 unit of the Eco-Widget 3000, providing a standardized basis for quantification and comparison.</w:t>
      </w:r>
    </w:p>
    <w:p>
      <w:pPr>
        <w:numPr>
          <w:ilvl w:val="0"/>
          <w:numId w:val="1001"/>
        </w:numPr>
        <w:pStyle w:val="Compact"/>
      </w:pPr>
      <w:r>
        <w:rPr>
          <w:bCs/>
          <w:b/>
        </w:rPr>
        <w:t xml:space="preserve">System Boundary:</w:t>
      </w:r>
      <w:r>
        <w:t xml:space="preserve"> </w:t>
      </w:r>
      <w:r>
        <w:t xml:space="preserve">A "factory_gate" system boundary has been applied for upstream emissions (materials and manufacturing), extending to include downstream transport, use phase, and end-of-life impacts. This cradle-to-grave approach captures the full lifecycle of the product.</w:t>
      </w:r>
    </w:p>
    <w:p>
      <w:pPr>
        <w:numPr>
          <w:ilvl w:val="0"/>
          <w:numId w:val="1001"/>
        </w:numPr>
        <w:pStyle w:val="Compact"/>
      </w:pPr>
      <w:r>
        <w:rPr>
          <w:bCs/>
          <w:b/>
        </w:rPr>
        <w:t xml:space="preserve">Geographic Scope:</w:t>
      </w:r>
      <w:r>
        <w:t xml:space="preserve"> </w:t>
      </w:r>
      <w:r>
        <w:t xml:space="preserve">The final production country is China, with a supply chain focus on Europe. This informs the selection of region-specific emission factors for manufacturing energy and outbound logistics.</w:t>
      </w:r>
    </w:p>
    <w:p>
      <w:pPr>
        <w:numPr>
          <w:ilvl w:val="0"/>
          <w:numId w:val="1001"/>
        </w:numPr>
        <w:pStyle w:val="Compact"/>
      </w:pPr>
      <w:r>
        <w:rPr>
          <w:bCs/>
          <w:b/>
        </w:rPr>
        <w:t xml:space="preserve">Accounting Standard:</w:t>
      </w:r>
      <w:r>
        <w:t xml:space="preserve"> </w:t>
      </w:r>
      <w:r>
        <w:t xml:space="preserve">The analysis strictly adheres to the GHG Protocol Product Standard, categorizing emissions into Scope 1 (direct emissions from owned or controlled sources),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For multi-functional processes, mass-based allocation has been applied where appropriate, although for a single product PCF, direct attribution is largely feasible. Avoided burden approaches are used for End-of-Life scenarios.</w:t>
      </w:r>
    </w:p>
    <w:p>
      <w:r>
        <w:pict>
          <v:rect style="width:0;height:1.5pt" o:hralign="center" o:hrstd="t" o:hr="t"/>
        </w:pict>
      </w:r>
    </w:p>
    <w:bookmarkEnd w:id="23"/>
    <w:bookmarkStart w:id="25" w:name="map-lifecycle-lci-inventory-stages"/>
    <w:p>
      <w:pPr>
        <w:pStyle w:val="Heading2"/>
      </w:pPr>
      <w:r>
        <w:t xml:space="preserve">2. Map Lifecycle (LCI Inventory Stages)</w:t>
      </w:r>
    </w:p>
    <w:p>
      <w:pPr>
        <w:pStyle w:val="FirstParagraph"/>
      </w:pPr>
      <w:r>
        <w:t xml:space="preserve">The lifecycle of the Eco-Widget 3000 is mapped through five key stages, each contributing to the overall carbon footprint.</w:t>
      </w:r>
    </w:p>
    <w:p>
      <w:pPr>
        <w:numPr>
          <w:ilvl w:val="0"/>
          <w:numId w:val="1002"/>
        </w:numPr>
        <w:pStyle w:val="Compact"/>
      </w:pPr>
      <w:r>
        <w:rPr>
          <w:bCs/>
          <w:b/>
        </w:rPr>
        <w:t xml:space="preserve">Material Acquisition &amp; Pre-processing:</w:t>
      </w:r>
      <w:r>
        <w:t xml:space="preserve"> </w:t>
      </w:r>
      <w:r>
        <w:t xml:space="preserve">This stage includes the extraction, processing, and manufacturing of all raw materials and components listed in the Detailed Bill of Materials (BOM).</w:t>
      </w:r>
    </w:p>
    <w:p>
      <w:pPr>
        <w:numPr>
          <w:ilvl w:val="0"/>
          <w:numId w:val="1002"/>
        </w:numPr>
        <w:pStyle w:val="Compact"/>
      </w:pPr>
      <w:r>
        <w:rPr>
          <w:bCs/>
          <w:b/>
        </w:rPr>
        <w:t xml:space="preserve">Manufacturing (Production):</w:t>
      </w:r>
      <w:r>
        <w:t xml:space="preserve"> </w:t>
      </w:r>
      <w:r>
        <w:t xml:space="preserve">Encompasses the energy consumption and direct emissions occurring at the production facility in China during the assembly and finishing of the product.</w:t>
      </w:r>
    </w:p>
    <w:p>
      <w:pPr>
        <w:numPr>
          <w:ilvl w:val="0"/>
          <w:numId w:val="1002"/>
        </w:numPr>
        <w:pStyle w:val="Compact"/>
      </w:pPr>
      <w:r>
        <w:rPr>
          <w:bCs/>
          <w:b/>
        </w:rPr>
        <w:t xml:space="preserve">Transport &amp; Distribution:</w:t>
      </w:r>
      <w:r>
        <w:t xml:space="preserve"> </w:t>
      </w:r>
      <w:r>
        <w:t xml:space="preserve">Covers the transportation of the finished product from the factory gate to the customer, including long-haul and last-mile delivery.</w:t>
      </w:r>
    </w:p>
    <w:p>
      <w:pPr>
        <w:numPr>
          <w:ilvl w:val="0"/>
          <w:numId w:val="1002"/>
        </w:numPr>
        <w:pStyle w:val="Compact"/>
      </w:pPr>
      <w:r>
        <w:rPr>
          <w:bCs/>
          <w:b/>
        </w:rPr>
        <w:t xml:space="preserve">Use Phase:</w:t>
      </w:r>
      <w:r>
        <w:t xml:space="preserve"> </w:t>
      </w:r>
      <w:r>
        <w:t xml:space="preserve">Accounts for the energy consumption during the product\'s lifespan, as specified by the functional unit.</w:t>
      </w:r>
    </w:p>
    <w:p>
      <w:pPr>
        <w:numPr>
          <w:ilvl w:val="0"/>
          <w:numId w:val="1002"/>
        </w:numPr>
        <w:pStyle w:val="Compact"/>
      </w:pPr>
      <w:r>
        <w:rPr>
          <w:bCs/>
          <w:b/>
        </w:rPr>
        <w:t xml:space="preserve">End-of-Life (EoL):</w:t>
      </w:r>
      <w:r>
        <w:t xml:space="preserve"> </w:t>
      </w:r>
      <w:r>
        <w:t xml:space="preserve">Addresses the disposal and potential recycling or recovery processes at the end of the product\'s useful life.</w:t>
      </w:r>
    </w:p>
    <w:bookmarkStart w:id="24" w:name="X24f7a441c298f49ddde298082a0ec61f3f1dd08"/>
    <w:p>
      <w:pPr>
        <w:pStyle w:val="Heading3"/>
      </w:pPr>
      <w:r>
        <w:t xml:space="preserve">Detailed Bill of Materials (BOM) for noytozwtuk (Eco-Widget 3000)</w:t>
      </w:r>
    </w:p>
    <w:p>
      <w:pPr>
        <w:pStyle w:val="FirstParagraph"/>
      </w:pPr>
      <w:r>
        <w:t xml:space="preserve">The following detailed Bill of Materials (BOM) provides a high-accuracy calculation of the material impact, utilizing the specific "Total Carbon" values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Casing (Primary)</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4.50</w:t>
            </w:r>
          </w:p>
        </w:tc>
      </w:tr>
      <w:tr>
        <w:tc>
          <w:tcPr/>
          <w:p>
            <w:pPr>
              <w:pStyle w:val="Compact"/>
              <w:jc w:val="left"/>
            </w:pPr>
            <w:r>
              <w:t xml:space="preserve">MAT002</w:t>
            </w:r>
          </w:p>
        </w:tc>
        <w:tc>
          <w:tcPr/>
          <w:p>
            <w:pPr>
              <w:pStyle w:val="Compact"/>
              <w:jc w:val="left"/>
            </w:pPr>
            <w:r>
              <w:t xml:space="preserve">Recycled ABS Plastic Shell</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w:t>
            </w:r>
          </w:p>
        </w:tc>
        <w:tc>
          <w:tcPr/>
          <w:p>
            <w:pPr>
              <w:pStyle w:val="Compact"/>
              <w:jc w:val="left"/>
            </w:pPr>
            <w:r>
              <w:t xml:space="preserve">0.36</w:t>
            </w:r>
          </w:p>
        </w:tc>
      </w:tr>
      <w:tr>
        <w:tc>
          <w:tcPr/>
          <w:p>
            <w:pPr>
              <w:pStyle w:val="Compact"/>
              <w:jc w:val="left"/>
            </w:pPr>
            <w:r>
              <w:t xml:space="preserve">MAT003</w:t>
            </w:r>
          </w:p>
        </w:tc>
        <w:tc>
          <w:tcPr/>
          <w:p>
            <w:pPr>
              <w:pStyle w:val="Compact"/>
              <w:jc w:val="left"/>
            </w:pPr>
            <w:r>
              <w:t xml:space="preserve">PCBA (Printed 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20.0</w:t>
            </w:r>
          </w:p>
        </w:tc>
        <w:tc>
          <w:tcPr/>
          <w:p>
            <w:pPr>
              <w:pStyle w:val="Compact"/>
              <w:jc w:val="left"/>
            </w:pPr>
            <w:r>
              <w:t xml:space="preserve">1.60</w:t>
            </w:r>
          </w:p>
        </w:tc>
      </w:tr>
      <w:tr>
        <w:tc>
          <w:tcPr/>
          <w:p>
            <w:pPr>
              <w:pStyle w:val="Compact"/>
              <w:jc w:val="left"/>
            </w:pPr>
            <w:r>
              <w:t xml:space="preserve">MAT005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0.075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7.735 kg CO2e</w:t>
            </w:r>
          </w:p>
        </w:tc>
      </w:tr>
      <w:tr>
        <w:tc>
          <w:tcPr>
            <w:gridSpan w:val="7"/>
          </w:tcPr>
          <w:p>
            <w:pPr>
              <w:pStyle w:val="Compact"/>
              <w:jc w:val="right"/>
            </w:pPr>
            <w:r>
              <w:rPr>
                <w:bCs/>
                <w:b/>
              </w:rPr>
              <w:t xml:space="preserve">Total Product Weight:</w:t>
            </w:r>
          </w:p>
        </w:tc>
        <w:tc>
          <w:tcPr/>
          <w:p>
            <w:pPr>
              <w:pStyle w:val="Compact"/>
              <w:jc w:val="left"/>
            </w:pPr>
            <w:r>
              <w:rPr>
                <w:bCs/>
                <w:b/>
              </w:rPr>
              <w:t xml:space="preserve">0.83 kg</w:t>
            </w:r>
          </w:p>
        </w:tc>
      </w:tr>
    </w:tbl>
    <w:p>
      <w:r>
        <w:pict>
          <v:rect style="width:0;height:1.5pt" o:hralign="center" o:hrstd="t" o:hr="t"/>
        </w:pict>
      </w:r>
    </w:p>
    <w:bookmarkEnd w:id="24"/>
    <w:bookmarkEnd w:id="25"/>
    <w:bookmarkStart w:id="26" w:name="Xb57f50a89bf1f3f1837369be949d9d60d6c1272"/>
    <w:p>
      <w:pPr>
        <w:pStyle w:val="Heading2"/>
      </w:pPr>
      <w:r>
        <w:t xml:space="preserve">3. Collect Data (Primary/Secondary Data Points)</w:t>
      </w:r>
    </w:p>
    <w:p>
      <w:pPr>
        <w:pStyle w:val="FirstParagraph"/>
      </w:pPr>
      <w:r>
        <w:t xml:space="preserve">This analysis integrates both primary (provided parameters) and secondary (industry-average emission factors) data to ensure a robust calculation. Key data points include:</w:t>
      </w:r>
    </w:p>
    <w:p>
      <w:pPr>
        <w:numPr>
          <w:ilvl w:val="0"/>
          <w:numId w:val="1003"/>
        </w:numPr>
        <w:pStyle w:val="Compact"/>
      </w:pPr>
      <w:r>
        <w:rPr>
          <w:bCs/>
          <w:b/>
        </w:rPr>
        <w:t xml:space="preserve">Bill of Materials (BOM):</w:t>
      </w:r>
      <w:r>
        <w:t xml:space="preserve"> </w:t>
      </w:r>
      <w:r>
        <w:t xml:space="preserve">funlyysu (as detailed above).</w:t>
      </w:r>
    </w:p>
    <w:p>
      <w:pPr>
        <w:numPr>
          <w:ilvl w:val="0"/>
          <w:numId w:val="1003"/>
        </w:numPr>
        <w:pStyle w:val="Compact"/>
      </w:pPr>
      <w:r>
        <w:rPr>
          <w:bCs/>
          <w:b/>
        </w:rPr>
        <w:t xml:space="preserve">Transport Mode:</w:t>
      </w:r>
      <w:r>
        <w:t xml:space="preserve"> </w:t>
      </w:r>
      <w:r>
        <w:t xml:space="preserve">Road Freight (Truck).</w:t>
      </w:r>
    </w:p>
    <w:p>
      <w:pPr>
        <w:numPr>
          <w:ilvl w:val="0"/>
          <w:numId w:val="1003"/>
        </w:numPr>
        <w:pStyle w:val="Compact"/>
      </w:pPr>
      <w:r>
        <w:rPr>
          <w:bCs/>
          <w:b/>
        </w:rPr>
        <w:t xml:space="preserve">Transport Distance:</w:t>
      </w:r>
      <w:r>
        <w:t xml:space="preserve"> </w:t>
      </w:r>
      <w:r>
        <w:t xml:space="preserve">uiootklrgy (1500 km).</w:t>
      </w:r>
    </w:p>
    <w:p>
      <w:pPr>
        <w:numPr>
          <w:ilvl w:val="0"/>
          <w:numId w:val="1003"/>
        </w:numPr>
        <w:pStyle w:val="Compact"/>
      </w:pPr>
      <w:r>
        <w:rPr>
          <w:bCs/>
          <w:b/>
        </w:rPr>
        <w:t xml:space="preserve">Last-Mile Delivery Channel:</w:t>
      </w:r>
      <w:r>
        <w:t xml:space="preserve"> </w:t>
      </w:r>
      <w:r>
        <w:t xml:space="preserve">Standard Parcel Post.</w:t>
      </w:r>
    </w:p>
    <w:p>
      <w:pPr>
        <w:numPr>
          <w:ilvl w:val="0"/>
          <w:numId w:val="1003"/>
        </w:numPr>
        <w:pStyle w:val="Compact"/>
      </w:pPr>
      <w:r>
        <w:rPr>
          <w:bCs/>
          <w:b/>
        </w:rPr>
        <w:t xml:space="preserve">Renewable Energy Usage (Production):</w:t>
      </w:r>
      <w:r>
        <w:t xml:space="preserve"> </w:t>
      </w:r>
      <w:r>
        <w:t xml:space="preserve">lxgksiolzp (60%).</w:t>
      </w:r>
    </w:p>
    <w:p>
      <w:pPr>
        <w:numPr>
          <w:ilvl w:val="0"/>
          <w:numId w:val="1003"/>
        </w:numPr>
        <w:pStyle w:val="Compact"/>
      </w:pPr>
      <w:r>
        <w:rPr>
          <w:bCs/>
          <w:b/>
        </w:rPr>
        <w:t xml:space="preserve">Energy Intensity (Production):</w:t>
      </w:r>
      <w:r>
        <w:t xml:space="preserve"> </w:t>
      </w:r>
      <w:r>
        <w:t xml:space="preserve">gxlotfizow (2.5 kWh/unit).</w:t>
      </w:r>
    </w:p>
    <w:p>
      <w:pPr>
        <w:numPr>
          <w:ilvl w:val="0"/>
          <w:numId w:val="1003"/>
        </w:numPr>
        <w:pStyle w:val="Compact"/>
      </w:pPr>
      <w:r>
        <w:rPr>
          <w:bCs/>
          <w:b/>
        </w:rPr>
        <w:t xml:space="preserve">Product Lifespan:</w:t>
      </w:r>
      <w:r>
        <w:t xml:space="preserve"> </w:t>
      </w:r>
      <w:r>
        <w:t xml:space="preserve">fuwjrestqy (5 years).</w:t>
      </w:r>
    </w:p>
    <w:p>
      <w:pPr>
        <w:numPr>
          <w:ilvl w:val="0"/>
          <w:numId w:val="1003"/>
        </w:numPr>
        <w:pStyle w:val="Compact"/>
      </w:pPr>
      <w:r>
        <w:rPr>
          <w:bCs/>
          <w:b/>
        </w:rPr>
        <w:t xml:space="preserve">Energy Consumption in Use:</w:t>
      </w:r>
      <w:r>
        <w:t xml:space="preserve"> </w:t>
      </w:r>
      <w:r>
        <w:t xml:space="preserve">jvdzgnqikm (15 kWh/year).</w:t>
      </w:r>
    </w:p>
    <w:p>
      <w:pPr>
        <w:numPr>
          <w:ilvl w:val="0"/>
          <w:numId w:val="1003"/>
        </w:numPr>
        <w:pStyle w:val="Compact"/>
      </w:pPr>
      <w:r>
        <w:rPr>
          <w:bCs/>
          <w:b/>
        </w:rPr>
        <w:t xml:space="preserve">Recyclability Percentage (EoL):</w:t>
      </w:r>
      <w:r>
        <w:t xml:space="preserve"> </w:t>
      </w:r>
      <w:r>
        <w:t xml:space="preserve">fgeynnslnr (80%).</w:t>
      </w:r>
    </w:p>
    <w:p>
      <w:pPr>
        <w:numPr>
          <w:ilvl w:val="0"/>
          <w:numId w:val="1003"/>
        </w:numPr>
        <w:pStyle w:val="Compact"/>
      </w:pPr>
      <w:r>
        <w:rPr>
          <w:bCs/>
          <w:b/>
        </w:rPr>
        <w:t xml:space="preserve">Circular/Take-back Programs:</w:t>
      </w:r>
      <w:r>
        <w:t xml:space="preserve"> </w:t>
      </w:r>
      <w:r>
        <w:t xml:space="preserve">dnlqssttde (Product take-back program for end-of-life recycling).</w:t>
      </w:r>
    </w:p>
    <w:p>
      <w:pPr>
        <w:pStyle w:val="FirstParagraph"/>
      </w:pPr>
      <w:r>
        <w:t xml:space="preserve">Industry-standard emission factors from sources such as Ecoinvent and DEFRA have been utilized where primary data was not available, or for typical average emissions, to ensure comprehensive coverage. Assumptions for these factors are outlined in the calculation section.</w:t>
      </w:r>
    </w:p>
    <w:p>
      <w:r>
        <w:pict>
          <v:rect style="width:0;height:1.5pt" o:hralign="center" o:hrstd="t" o:hr="t"/>
        </w:pict>
      </w:r>
    </w:p>
    <w:bookmarkEnd w:id="26"/>
    <w:bookmarkStart w:id="36"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Scopes. The calculations apply the 2026 Land Sector and Removals (LSR) Standard where relevant, and aim for over 95% Scope 3 coverage, as per forthcoming 2026 requirements. The LSR Standard, released on January 30, 2026, and effective January 1, 2027, provides accounting requirements for land emissions and CO2 removals, although forest carbon accounting is not included in this version.</w:t>
      </w:r>
    </w:p>
    <w:bookmarkStart w:id="27" w:name="ghg-scope-categorization"/>
    <w:p>
      <w:pPr>
        <w:pStyle w:val="Heading3"/>
      </w:pPr>
      <w:r>
        <w:t xml:space="preserve">GHG Scope Categorization</w:t>
      </w:r>
    </w:p>
    <w:p>
      <w:pPr>
        <w:numPr>
          <w:ilvl w:val="0"/>
          <w:numId w:val="1004"/>
        </w:numPr>
        <w:pStyle w:val="Compact"/>
      </w:pPr>
      <w:r>
        <w:rPr>
          <w:bCs/>
          <w:b/>
        </w:rPr>
        <w:t xml:space="preserve">Scope 1 Emissions (Direct Emissions):</w:t>
      </w:r>
      <w:r>
        <w:t xml:space="preserve"> </w:t>
      </w:r>
      <w:r>
        <w:t xml:space="preserve">Emissions from sources owned or controlled by wmsdrzvsfr. For the product\'s manufacturing process under a factory_gate boundary, and without explicit mention of on-site fuel combustion or process emissions, Scope 1 emissions are considered negligible for this PCF.</w:t>
      </w:r>
    </w:p>
    <w:p>
      <w:pPr>
        <w:numPr>
          <w:ilvl w:val="0"/>
          <w:numId w:val="1004"/>
        </w:numPr>
        <w:pStyle w:val="Compact"/>
      </w:pPr>
      <w:r>
        <w:rPr>
          <w:bCs/>
          <w:b/>
        </w:rPr>
        <w:t xml:space="preserve">Scope 2 Emissions (Indirect Emissions from Purchased Energy):</w:t>
      </w:r>
      <w:r>
        <w:t xml:space="preserve"> </w:t>
      </w:r>
      <w:r>
        <w:t xml:space="preserve">Emissions from the generation of purchased electricity, steam, heat, or cooling consumed by wmsdrzvsfr. This primarily covers the electricity used in the manufacturing phase.</w:t>
      </w:r>
    </w:p>
    <w:p>
      <w:pPr>
        <w:numPr>
          <w:ilvl w:val="0"/>
          <w:numId w:val="1004"/>
        </w:numPr>
        <w:pStyle w:val="Compact"/>
      </w:pPr>
      <w:r>
        <w:rPr>
          <w:bCs/>
          <w:b/>
        </w:rPr>
        <w:t xml:space="preserve">Scope 3 Emissions (Other Indirect Emissions):</w:t>
      </w:r>
      <w:r>
        <w:t xml:space="preserve"> </w:t>
      </w:r>
      <w:r>
        <w:t xml:space="preserve">All other indirect emissions in the value chain, both upstream and downstream. This includes emissions from material acquisition, transportation (inbound and outbound), product use, and end-of-life treatment. The calculation aims for at least 95% coverage for Scope 3 reporting, in line with 2026 requirements.</w:t>
      </w:r>
    </w:p>
    <w:bookmarkEnd w:id="27"/>
    <w:bookmarkStart w:id="33" w:name="detailed-emission-calculations"/>
    <w:p>
      <w:pPr>
        <w:pStyle w:val="Heading3"/>
      </w:pPr>
      <w:r>
        <w:t xml:space="preserve">Detailed Emission Calculations</w:t>
      </w:r>
    </w:p>
    <w:bookmarkStart w:id="28" w:name="Xf8bb28ae483c59759931b7b591bff027aa66408"/>
    <w:p>
      <w:pPr>
        <w:pStyle w:val="Heading4"/>
      </w:pPr>
      <w:r>
        <w:t xml:space="preserve">A. Material Acquisition &amp; Pre-processing (Scope 3 - Upstream)</w:t>
      </w:r>
    </w:p>
    <w:p>
      <w:pPr>
        <w:pStyle w:val="FirstParagraph"/>
      </w:pPr>
      <w:r>
        <w:t xml:space="preserve">Based on the provided Detailed Bill of Materials (funlyysu):</w:t>
      </w:r>
    </w:p>
    <w:p>
      <w:pPr>
        <w:numPr>
          <w:ilvl w:val="0"/>
          <w:numId w:val="1005"/>
        </w:numPr>
        <w:pStyle w:val="Compact"/>
      </w:pPr>
      <w:r>
        <w:t xml:space="preserve">Total Material Carbon Footprint = 7.735 kg CO2e.</w:t>
      </w:r>
    </w:p>
    <w:bookmarkEnd w:id="28"/>
    <w:bookmarkStart w:id="29" w:name="b.-manufacturing-production-scope-2"/>
    <w:p>
      <w:pPr>
        <w:pStyle w:val="Heading4"/>
      </w:pPr>
      <w:r>
        <w:t xml:space="preserve">B. Manufacturing (Production) (Scope 2)</w:t>
      </w:r>
    </w:p>
    <w:p>
      <w:pPr>
        <w:numPr>
          <w:ilvl w:val="0"/>
          <w:numId w:val="1006"/>
        </w:numPr>
        <w:pStyle w:val="Compact"/>
      </w:pPr>
      <w:r>
        <w:t xml:space="preserve">Energy Intensity: 2.5 kWh/unit (gxlotfizow).</w:t>
      </w:r>
    </w:p>
    <w:p>
      <w:pPr>
        <w:numPr>
          <w:ilvl w:val="0"/>
          <w:numId w:val="1006"/>
        </w:numPr>
        <w:pStyle w:val="Compact"/>
      </w:pPr>
      <w:r>
        <w:t xml:space="preserve">Renewable Energy Usage: 60% (lxgksiolzp).</w:t>
      </w:r>
    </w:p>
    <w:p>
      <w:pPr>
        <w:numPr>
          <w:ilvl w:val="0"/>
          <w:numId w:val="1006"/>
        </w:numPr>
        <w:pStyle w:val="Compact"/>
      </w:pPr>
      <w:r>
        <w:t xml:space="preserve">Non-renewable energy: 2.5 kWh/unit * (1 - 0.60) = 1.0 kWh/unit.</w:t>
      </w:r>
    </w:p>
    <w:p>
      <w:pPr>
        <w:numPr>
          <w:ilvl w:val="0"/>
          <w:numId w:val="1006"/>
        </w:numPr>
        <w:pStyle w:val="Compact"/>
      </w:pPr>
      <w:r>
        <w:t xml:space="preserve">China Electricity Grid Emission Factor (illustrative average): 0.6 kg CO2e/kWh.</w:t>
      </w:r>
    </w:p>
    <w:p>
      <w:pPr>
        <w:numPr>
          <w:ilvl w:val="0"/>
          <w:numId w:val="1006"/>
        </w:numPr>
        <w:pStyle w:val="Compact"/>
      </w:pPr>
      <w:r>
        <w:t xml:space="preserve">Emissions from manufacturing energy = 1.0 kWh/unit * 0.6 kg CO2e/kWh = 0.60 kg CO2e/unit.</w:t>
      </w:r>
    </w:p>
    <w:bookmarkEnd w:id="29"/>
    <w:bookmarkStart w:id="30" w:name="Xe1be9f9422970758cd22db0ea1b350a4949e5f9"/>
    <w:p>
      <w:pPr>
        <w:pStyle w:val="Heading4"/>
      </w:pPr>
      <w:r>
        <w:t xml:space="preserve">C. Transport &amp; Distribution (Scope 3 - Downstream)</w:t>
      </w:r>
    </w:p>
    <w:p>
      <w:pPr>
        <w:numPr>
          <w:ilvl w:val="0"/>
          <w:numId w:val="1007"/>
        </w:numPr>
        <w:pStyle w:val="Compact"/>
      </w:pPr>
      <w:r>
        <w:t xml:space="preserve">Product Weight: 0.83 kg.</w:t>
      </w:r>
    </w:p>
    <w:p>
      <w:pPr>
        <w:numPr>
          <w:ilvl w:val="0"/>
          <w:numId w:val="1007"/>
        </w:numPr>
        <w:pStyle w:val="Compact"/>
      </w:pPr>
      <w:r>
        <w:t xml:space="preserve">Transport Distance (Outbound): 1500 km (uiootklrgy).</w:t>
      </w:r>
    </w:p>
    <w:p>
      <w:pPr>
        <w:numPr>
          <w:ilvl w:val="0"/>
          <w:numId w:val="1007"/>
        </w:numPr>
        <w:pStyle w:val="Compact"/>
      </w:pPr>
      <w:r>
        <w:t xml:space="preserve">Transport Mode: Road Freight (Truck).</w:t>
      </w:r>
    </w:p>
    <w:p>
      <w:pPr>
        <w:numPr>
          <w:ilvl w:val="0"/>
          <w:numId w:val="1007"/>
        </w:numPr>
        <w:pStyle w:val="Compact"/>
      </w:pPr>
      <w:r>
        <w:t xml:space="preserve">Emission Factor (Road Freight - illustrative average): 0.09 kg CO2e/tonne-km.</w:t>
      </w:r>
    </w:p>
    <w:p>
      <w:pPr>
        <w:numPr>
          <w:ilvl w:val="0"/>
          <w:numId w:val="1007"/>
        </w:numPr>
        <w:pStyle w:val="Compact"/>
      </w:pPr>
      <w:r>
        <w:t xml:space="preserve">Emissions from Road Freight = (0.83 kg / 1000 kg/tonne) * 1500 km * 0.09 kg CO2e/tonne-km = 0.112 kg CO2e/unit.</w:t>
      </w:r>
    </w:p>
    <w:p>
      <w:pPr>
        <w:numPr>
          <w:ilvl w:val="0"/>
          <w:numId w:val="1007"/>
        </w:numPr>
        <w:pStyle w:val="Compact"/>
      </w:pPr>
      <w:r>
        <w:t xml:space="preserve">Last-Mile Delivery Channel: Standard Parcel Post (Delivery Type).</w:t>
      </w:r>
    </w:p>
    <w:p>
      <w:pPr>
        <w:numPr>
          <w:ilvl w:val="0"/>
          <w:numId w:val="1007"/>
        </w:numPr>
        <w:pStyle w:val="Compact"/>
      </w:pPr>
      <w:r>
        <w:t xml:space="preserve">Emission Factor (Standard Parcel Post - illustrative estimate): 0.5 kg CO2e/parcel.</w:t>
      </w:r>
    </w:p>
    <w:p>
      <w:pPr>
        <w:numPr>
          <w:ilvl w:val="0"/>
          <w:numId w:val="1007"/>
        </w:numPr>
        <w:pStyle w:val="Compact"/>
      </w:pPr>
      <w:r>
        <w:t xml:space="preserve">Emissions from Last-Mile Delivery = 0.50 kg CO2e/unit.</w:t>
      </w:r>
    </w:p>
    <w:p>
      <w:pPr>
        <w:numPr>
          <w:ilvl w:val="0"/>
          <w:numId w:val="1007"/>
        </w:numPr>
        <w:pStyle w:val="Compact"/>
      </w:pPr>
      <w:r>
        <w:t xml:space="preserve">Total Transport Emissions = 0.112 + 0.50 = 0.612 kg CO2e/unit.</w:t>
      </w:r>
    </w:p>
    <w:bookmarkEnd w:id="30"/>
    <w:bookmarkStart w:id="31" w:name="d.-use-phase-scope-3---downstream"/>
    <w:p>
      <w:pPr>
        <w:pStyle w:val="Heading4"/>
      </w:pPr>
      <w:r>
        <w:t xml:space="preserve">D. Use Phase (Scope 3 - Downstream)</w:t>
      </w:r>
    </w:p>
    <w:p>
      <w:pPr>
        <w:numPr>
          <w:ilvl w:val="0"/>
          <w:numId w:val="1008"/>
        </w:numPr>
        <w:pStyle w:val="Compact"/>
      </w:pPr>
      <w:r>
        <w:t xml:space="preserve">Product Lifespan: 5 years (fuwjrestqy).</w:t>
      </w:r>
    </w:p>
    <w:p>
      <w:pPr>
        <w:numPr>
          <w:ilvl w:val="0"/>
          <w:numId w:val="1008"/>
        </w:numPr>
        <w:pStyle w:val="Compact"/>
      </w:pPr>
      <w:r>
        <w:t xml:space="preserve">Energy Consumption in Use: 15 kWh/year (jvdzgnqikm).</w:t>
      </w:r>
    </w:p>
    <w:p>
      <w:pPr>
        <w:numPr>
          <w:ilvl w:val="0"/>
          <w:numId w:val="1008"/>
        </w:numPr>
        <w:pStyle w:val="Compact"/>
      </w:pPr>
      <w:r>
        <w:t xml:space="preserve">Total Energy Consumption over Lifespan = 15 kWh/year * 5 years = 75 kWh/unit.</w:t>
      </w:r>
    </w:p>
    <w:p>
      <w:pPr>
        <w:numPr>
          <w:ilvl w:val="0"/>
          <w:numId w:val="1008"/>
        </w:numPr>
        <w:pStyle w:val="Compact"/>
      </w:pPr>
      <w:r>
        <w:t xml:space="preserve">Electricity Grid Emission Factor (illustrative average, assuming similar grid mix for use): 0.6 kg CO2e/kWh.</w:t>
      </w:r>
    </w:p>
    <w:p>
      <w:pPr>
        <w:numPr>
          <w:ilvl w:val="0"/>
          <w:numId w:val="1008"/>
        </w:numPr>
        <w:pStyle w:val="Compact"/>
      </w:pPr>
      <w:r>
        <w:t xml:space="preserve">Emissions from Use Phase = 75 kWh/unit * 0.6 kg CO2e/kWh = 45.00 kg CO2e/unit.</w:t>
      </w:r>
    </w:p>
    <w:bookmarkEnd w:id="31"/>
    <w:bookmarkStart w:id="32" w:name="e.-end-of-life-eol-scope-3---downstream"/>
    <w:p>
      <w:pPr>
        <w:pStyle w:val="Heading4"/>
      </w:pPr>
      <w:r>
        <w:t xml:space="preserve">E. End-of-Life (EoL) (Scope 3 - Downstream)</w:t>
      </w:r>
    </w:p>
    <w:p>
      <w:pPr>
        <w:numPr>
          <w:ilvl w:val="0"/>
          <w:numId w:val="1009"/>
        </w:numPr>
        <w:pStyle w:val="Compact"/>
      </w:pPr>
      <w:r>
        <w:t xml:space="preserve">Product Weight: 0.83 kg.</w:t>
      </w:r>
    </w:p>
    <w:p>
      <w:pPr>
        <w:numPr>
          <w:ilvl w:val="0"/>
          <w:numId w:val="1009"/>
        </w:numPr>
        <w:pStyle w:val="Compact"/>
      </w:pPr>
      <w:r>
        <w:t xml:space="preserve">Recyclability Percentage: 80% (fgeynnslnr).</w:t>
      </w:r>
    </w:p>
    <w:p>
      <w:pPr>
        <w:numPr>
          <w:ilvl w:val="0"/>
          <w:numId w:val="1009"/>
        </w:numPr>
        <w:pStyle w:val="Compact"/>
      </w:pPr>
      <w:r>
        <w:t xml:space="preserve">Amount Recycled = 0.83 kg * 0.80 = 0.664 kg.</w:t>
      </w:r>
    </w:p>
    <w:p>
      <w:pPr>
        <w:numPr>
          <w:ilvl w:val="0"/>
          <w:numId w:val="1009"/>
        </w:numPr>
        <w:pStyle w:val="Compact"/>
      </w:pPr>
      <w:r>
        <w:t xml:space="preserve">Amount to Landfill/Incineration = 0.83 kg * 0.20 = 0.166 kg.</w:t>
      </w:r>
    </w:p>
    <w:p>
      <w:pPr>
        <w:numPr>
          <w:ilvl w:val="0"/>
          <w:numId w:val="1009"/>
        </w:numPr>
        <w:pStyle w:val="Compact"/>
      </w:pPr>
      <w:r>
        <w:t xml:space="preserve">Recycling Credit (illustrative average for mixed materials): -0.5 kg CO2e/kg. (Note: Aluminum alone can have a much higher credit of -9.5 to -11 kg CO2e/kg. A blended factor is used here given the mixed material composition).</w:t>
      </w:r>
    </w:p>
    <w:p>
      <w:pPr>
        <w:numPr>
          <w:ilvl w:val="0"/>
          <w:numId w:val="1009"/>
        </w:numPr>
        <w:pStyle w:val="Compact"/>
      </w:pPr>
      <w:r>
        <w:t xml:space="preserve">Avoided Emissions from Recycling = 0.664 kg * -0.5 kg CO2e/kg = -0.332 kg CO2e/unit.</w:t>
      </w:r>
    </w:p>
    <w:p>
      <w:pPr>
        <w:numPr>
          <w:ilvl w:val="0"/>
          <w:numId w:val="1009"/>
        </w:numPr>
        <w:pStyle w:val="Compact"/>
      </w:pPr>
      <w:r>
        <w:t xml:space="preserve">Emissions from Non-Recycled Waste (illustrative average for landfill/incineration): 0.1 kg CO2e/kg.</w:t>
      </w:r>
    </w:p>
    <w:p>
      <w:pPr>
        <w:numPr>
          <w:ilvl w:val="0"/>
          <w:numId w:val="1009"/>
        </w:numPr>
        <w:pStyle w:val="Compact"/>
      </w:pPr>
      <w:r>
        <w:t xml:space="preserve">Emissions from Waste Disposal = 0.166 kg * 0.1 kg CO2e/kg = 0.017 kg CO2e/unit.</w:t>
      </w:r>
    </w:p>
    <w:p>
      <w:pPr>
        <w:numPr>
          <w:ilvl w:val="0"/>
          <w:numId w:val="1009"/>
        </w:numPr>
        <w:pStyle w:val="Compact"/>
      </w:pPr>
      <w:r>
        <w:t xml:space="preserve">Net End-of-Life Emissions = -0.332 + 0.017 = -0.315 kg CO2e/unit.</w:t>
      </w:r>
    </w:p>
    <w:p>
      <w:pPr>
        <w:numPr>
          <w:ilvl w:val="0"/>
          <w:numId w:val="1009"/>
        </w:numPr>
        <w:pStyle w:val="Compact"/>
      </w:pPr>
      <w:r>
        <w:t xml:space="preserve">Circular/Take-back Programs (dnlqssttde): Product take-back program for end-of-life recycling. This program supports the achievement of the 80% recyclability rate and facilitates the circularity aspects, contributing to the avoided emissions.</w:t>
      </w:r>
    </w:p>
    <w:bookmarkEnd w:id="32"/>
    <w:bookmarkEnd w:id="33"/>
    <w:bookmarkStart w:id="34" w:name="X39e4020c1520d7e6fbafb4ab819ac3a24fa44fd"/>
    <w:p>
      <w:pPr>
        <w:pStyle w:val="Heading3"/>
      </w:pPr>
      <w:r>
        <w:t xml:space="preserve">Summary of Product Carbon Footprint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CO2e Emissions (kg/unit)</w:t>
            </w:r>
          </w:p>
        </w:tc>
        <w:tc>
          <w:tcPr/>
          <w:p>
            <w:pPr>
              <w:pStyle w:val="Compact"/>
              <w:jc w:val="left"/>
            </w:pPr>
            <w:r>
              <w:t xml:space="preserve">GHG Scope</w:t>
            </w:r>
          </w:p>
        </w:tc>
      </w:tr>
      <w:tr>
        <w:tc>
          <w:tcPr/>
          <w:p>
            <w:pPr>
              <w:pStyle w:val="Compact"/>
              <w:jc w:val="left"/>
            </w:pPr>
            <w:r>
              <w:t xml:space="preserve">Material Acquisition &amp; Pre-processing</w:t>
            </w:r>
          </w:p>
        </w:tc>
        <w:tc>
          <w:tcPr/>
          <w:p>
            <w:pPr>
              <w:pStyle w:val="Compact"/>
              <w:jc w:val="left"/>
            </w:pPr>
            <w:r>
              <w:t xml:space="preserve">7.735</w:t>
            </w:r>
          </w:p>
        </w:tc>
        <w:tc>
          <w:tcPr/>
          <w:p>
            <w:pPr>
              <w:pStyle w:val="Compact"/>
              <w:jc w:val="left"/>
            </w:pPr>
            <w:r>
              <w:t xml:space="preserve">Scope 3 (Upstream)</w:t>
            </w:r>
          </w:p>
        </w:tc>
      </w:tr>
      <w:tr>
        <w:tc>
          <w:tcPr/>
          <w:p>
            <w:pPr>
              <w:pStyle w:val="Compact"/>
              <w:jc w:val="left"/>
            </w:pPr>
            <w:r>
              <w:t xml:space="preserve">Manufacturing (Production Energy)</w:t>
            </w:r>
          </w:p>
        </w:tc>
        <w:tc>
          <w:tcPr/>
          <w:p>
            <w:pPr>
              <w:pStyle w:val="Compact"/>
              <w:jc w:val="left"/>
            </w:pPr>
            <w:r>
              <w:t xml:space="preserve">0.600</w:t>
            </w:r>
          </w:p>
        </w:tc>
        <w:tc>
          <w:tcPr/>
          <w:p>
            <w:pPr>
              <w:pStyle w:val="Compact"/>
              <w:jc w:val="left"/>
            </w:pPr>
            <w:r>
              <w:t xml:space="preserve">Scope 2</w:t>
            </w:r>
          </w:p>
        </w:tc>
      </w:tr>
      <w:tr>
        <w:tc>
          <w:tcPr/>
          <w:p>
            <w:pPr>
              <w:pStyle w:val="Compact"/>
              <w:jc w:val="left"/>
            </w:pPr>
            <w:r>
              <w:t xml:space="preserve">Transport &amp; Distribution</w:t>
            </w:r>
          </w:p>
        </w:tc>
        <w:tc>
          <w:tcPr/>
          <w:p>
            <w:pPr>
              <w:pStyle w:val="Compact"/>
              <w:jc w:val="left"/>
            </w:pPr>
            <w:r>
              <w:t xml:space="preserve">0.612</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45.000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-0.315</w:t>
            </w:r>
          </w:p>
        </w:tc>
        <w:tc>
          <w:tcPr/>
          <w:p>
            <w:pPr>
              <w:pStyle w:val="Compact"/>
              <w:jc w:val="left"/>
            </w:pPr>
            <w:r>
              <w:t xml:space="preserve">Scope 3 (Downstream)</w:t>
            </w:r>
          </w:p>
        </w:tc>
      </w:tr>
      <w:tr>
        <w:tc>
          <w:tcPr/>
          <w:p>
            <w:pPr>
              <w:pStyle w:val="Compact"/>
              <w:jc w:val="left"/>
            </w:pPr>
            <w:r>
              <w:rPr>
                <w:bCs/>
                <w:b/>
              </w:rPr>
              <w:t xml:space="preserve">Total Product Carbon Footprint</w:t>
            </w:r>
          </w:p>
        </w:tc>
        <w:tc>
          <w:tcPr/>
          <w:p>
            <w:pPr>
              <w:pStyle w:val="Compact"/>
              <w:jc w:val="left"/>
            </w:pPr>
            <w:r>
              <w:rPr>
                <w:bCs/>
                <w:b/>
              </w:rPr>
              <w:t xml:space="preserve">53.632</w:t>
            </w:r>
          </w:p>
        </w:tc>
        <w:tc>
          <w:tcPr/>
          <w:p>
            <w:pPr>
              <w:pStyle w:val="Compact"/>
            </w:pPr>
          </w:p>
        </w:tc>
      </w:tr>
    </w:tbl>
    <w:bookmarkEnd w:id="34"/>
    <w:bookmarkStart w:id="35" w:name="total-pcf-by-ghg-scope"/>
    <w:p>
      <w:pPr>
        <w:pStyle w:val="Heading3"/>
      </w:pPr>
      <w:r>
        <w:t xml:space="preserve">Total PCF by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CO2e Emissions (kg/unit)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0.60</w:t>
            </w:r>
          </w:p>
        </w:tc>
        <w:tc>
          <w:tcPr/>
          <w:p>
            <w:pPr>
              <w:pStyle w:val="Compact"/>
              <w:jc w:val="left"/>
            </w:pPr>
            <w:r>
              <w:t xml:space="preserve">1.12%</w:t>
            </w:r>
          </w:p>
        </w:tc>
      </w:tr>
      <w:tr>
        <w:tc>
          <w:tcPr/>
          <w:p>
            <w:pPr>
              <w:pStyle w:val="Compact"/>
              <w:jc w:val="left"/>
            </w:pPr>
            <w:r>
              <w:t xml:space="preserve">Scope 3</w:t>
            </w:r>
          </w:p>
        </w:tc>
        <w:tc>
          <w:tcPr/>
          <w:p>
            <w:pPr>
              <w:pStyle w:val="Compact"/>
              <w:jc w:val="left"/>
            </w:pPr>
            <w:r>
              <w:t xml:space="preserve">53.03</w:t>
            </w:r>
          </w:p>
        </w:tc>
        <w:tc>
          <w:tcPr/>
          <w:p>
            <w:pPr>
              <w:pStyle w:val="Compact"/>
              <w:jc w:val="left"/>
            </w:pPr>
            <w:r>
              <w:t xml:space="preserve">98.88%</w:t>
            </w:r>
          </w:p>
        </w:tc>
      </w:tr>
      <w:tr>
        <w:tc>
          <w:tcPr/>
          <w:p>
            <w:pPr>
              <w:pStyle w:val="Compact"/>
              <w:jc w:val="left"/>
            </w:pPr>
            <w:r>
              <w:rPr>
                <w:bCs/>
                <w:b/>
              </w:rPr>
              <w:t xml:space="preserve">Total PCF</w:t>
            </w:r>
          </w:p>
        </w:tc>
        <w:tc>
          <w:tcPr/>
          <w:p>
            <w:pPr>
              <w:pStyle w:val="Compact"/>
              <w:jc w:val="left"/>
            </w:pPr>
            <w:r>
              <w:rPr>
                <w:bCs/>
                <w:b/>
              </w:rPr>
              <w:t xml:space="preserve">53.63</w:t>
            </w:r>
          </w:p>
        </w:tc>
        <w:tc>
          <w:tcPr/>
          <w:p>
            <w:pPr>
              <w:pStyle w:val="Compact"/>
              <w:jc w:val="left"/>
            </w:pPr>
            <w:r>
              <w:rPr>
                <w:bCs/>
                <w:b/>
              </w:rPr>
              <w:t xml:space="preserve">100.00%</w:t>
            </w:r>
          </w:p>
        </w:tc>
      </w:tr>
    </w:tbl>
    <w:p>
      <w:r>
        <w:pict>
          <v:rect style="width:0;height:1.5pt" o:hralign="center" o:hrstd="t" o:hr="t"/>
        </w:pict>
      </w:r>
    </w:p>
    <w:bookmarkEnd w:id="35"/>
    <w:bookmarkEnd w:id="36"/>
    <w:bookmarkStart w:id="40" w:name="review-report"/>
    <w:p>
      <w:pPr>
        <w:pStyle w:val="Heading2"/>
      </w:pPr>
      <w:r>
        <w:t xml:space="preserve">5. Review &amp; Report</w:t>
      </w:r>
    </w:p>
    <w:bookmarkStart w:id="37" w:name="hotspot-identification"/>
    <w:p>
      <w:pPr>
        <w:pStyle w:val="Heading3"/>
      </w:pPr>
      <w:r>
        <w:t xml:space="preserve">Hotspot Identification</w:t>
      </w:r>
    </w:p>
    <w:p>
      <w:pPr>
        <w:pStyle w:val="FirstParagraph"/>
      </w:pPr>
      <w:r>
        <w:t xml:space="preserve">The analysis reveals the primary emission hotspots for the Eco-Widget 3000:</w:t>
      </w:r>
    </w:p>
    <w:p>
      <w:pPr>
        <w:numPr>
          <w:ilvl w:val="0"/>
          <w:numId w:val="1010"/>
        </w:numPr>
        <w:pStyle w:val="Compact"/>
      </w:pPr>
      <w:r>
        <w:rPr>
          <w:bCs/>
          <w:b/>
        </w:rPr>
        <w:t xml:space="preserve">Use Phase (45.00 kg CO2e):</w:t>
      </w:r>
      <w:r>
        <w:t xml:space="preserve"> </w:t>
      </w:r>
      <w:r>
        <w:t xml:space="preserve">This is by far the most significant contributor to the product\'s carbon footprint, accounting for approximately 84% of the total. This is due to the energy consumption over the product\'s 5-year lifespan.</w:t>
      </w:r>
    </w:p>
    <w:p>
      <w:pPr>
        <w:numPr>
          <w:ilvl w:val="0"/>
          <w:numId w:val="1010"/>
        </w:numPr>
        <w:pStyle w:val="Compact"/>
      </w:pPr>
      <w:r>
        <w:rPr>
          <w:bCs/>
          <w:b/>
        </w:rPr>
        <w:t xml:space="preserve">Material Acquisition &amp; Pre-processing (7.735 kg CO2e):</w:t>
      </w:r>
      <w:r>
        <w:t xml:space="preserve"> </w:t>
      </w:r>
      <w:r>
        <w:t xml:space="preserve">The upstream emissions from raw materials, particularly primary aluminum and the lithium-ion battery, represent the second largest hotspot.</w:t>
      </w:r>
    </w:p>
    <w:p>
      <w:pPr>
        <w:numPr>
          <w:ilvl w:val="0"/>
          <w:numId w:val="1010"/>
        </w:numPr>
        <w:pStyle w:val="Compact"/>
      </w:pPr>
      <w:r>
        <w:rPr>
          <w:bCs/>
          <w:b/>
        </w:rPr>
        <w:t xml:space="preserve">Transport &amp; Distribution (0.612 kg CO2e) and Manufacturing (0.600 kg CO2e):</w:t>
      </w:r>
      <w:r>
        <w:t xml:space="preserve"> </w:t>
      </w:r>
      <w:r>
        <w:t xml:space="preserve">These stages contribute a smaller, but still notable, portion of the total footprint.</w:t>
      </w:r>
    </w:p>
    <w:bookmarkEnd w:id="37"/>
    <w:bookmarkStart w:id="38" w:name="reliability-and-limitations"/>
    <w:p>
      <w:pPr>
        <w:pStyle w:val="Heading3"/>
      </w:pPr>
      <w:r>
        <w:t xml:space="preserve">Reliability and Limitations</w:t>
      </w:r>
    </w:p>
    <w:p>
      <w:pPr>
        <w:pStyle w:val="FirstParagraph"/>
      </w:pPr>
      <w:r>
        <w:t xml:space="preserve">The reliability of this report is high, leveraging specific primary data for BOM, energy usage, and product lifespan. However, it\'s important to acknowledge the following:</w:t>
      </w:r>
    </w:p>
    <w:p>
      <w:pPr>
        <w:numPr>
          <w:ilvl w:val="0"/>
          <w:numId w:val="1011"/>
        </w:numPr>
        <w:pStyle w:val="Compact"/>
      </w:pPr>
      <w:r>
        <w:rPr>
          <w:bCs/>
          <w:b/>
        </w:rPr>
        <w:t xml:space="preserve">Secondary Data Reliance:</w:t>
      </w:r>
      <w:r>
        <w:t xml:space="preserve"> </w:t>
      </w:r>
      <w:r>
        <w:t xml:space="preserve">Generic industry-average emission factors have been used for certain aspects like electricity grid mix, transport, and waste treatment. While these are from reputable sources (e.g., Ecoinvent/DEFRA), they may not precisely reflect the specific operational efficiencies of all suppliers or regions.</w:t>
      </w:r>
    </w:p>
    <w:p>
      <w:pPr>
        <w:numPr>
          <w:ilvl w:val="0"/>
          <w:numId w:val="1011"/>
        </w:numPr>
        <w:pStyle w:val="Compact"/>
      </w:pPr>
      <w:r>
        <w:rPr>
          <w:bCs/>
          <w:b/>
        </w:rPr>
        <w:t xml:space="preserve">Scope 3 Completeness:</w:t>
      </w:r>
      <w:r>
        <w:t xml:space="preserve"> </w:t>
      </w:r>
      <w:r>
        <w:t xml:space="preserve">While aiming for at least 95% coverage for Scope 3 emissions, minor upstream or downstream activities not explicitly captured by the provided parameters may exist. This aligns with the GHG Protocol\'s ongoing efforts to enhance Scope 3 completeness and data transparency.</w:t>
      </w:r>
    </w:p>
    <w:p>
      <w:pPr>
        <w:numPr>
          <w:ilvl w:val="0"/>
          <w:numId w:val="1011"/>
        </w:numPr>
        <w:pStyle w:val="Compact"/>
      </w:pPr>
      <w:r>
        <w:rPr>
          <w:bCs/>
          <w:b/>
        </w:rPr>
        <w:t xml:space="preserve">LSR Standard Application:</w:t>
      </w:r>
      <w:r>
        <w:t xml:space="preserve"> </w:t>
      </w:r>
      <w:r>
        <w:t xml:space="preserve">The 2026 LSR Standard has been acknowledged. Given the product\'s nature, direct land-use change emissions are not explicitly detailed but carbon removals are considered in the EoL phase.</w:t>
      </w:r>
    </w:p>
    <w:bookmarkEnd w:id="38"/>
    <w:bookmarkStart w:id="39" w:name="key-insights-and-recommendations"/>
    <w:p>
      <w:pPr>
        <w:pStyle w:val="Heading3"/>
      </w:pPr>
      <w:r>
        <w:t xml:space="preserve">Key Insights and Recommendations</w:t>
      </w:r>
    </w:p>
    <w:p>
      <w:pPr>
        <w:pStyle w:val="FirstParagraph"/>
      </w:pPr>
      <w:r>
        <w:t xml:space="preserve">Based on this PCF analysis, wmsdrzvsfr should focus on the following to reduce the Eco-Widget 3000\'s environmental impact:</w:t>
      </w:r>
    </w:p>
    <w:p>
      <w:pPr>
        <w:numPr>
          <w:ilvl w:val="0"/>
          <w:numId w:val="1012"/>
        </w:numPr>
        <w:pStyle w:val="Compact"/>
      </w:pPr>
      <w:r>
        <w:rPr>
          <w:bCs/>
          <w:b/>
        </w:rPr>
        <w:t xml:space="preserve">Optimize Use Phase Efficiency:</w:t>
      </w:r>
      <w:r>
        <w:t xml:space="preserve"> </w:t>
      </w:r>
      <w:r>
        <w:t xml:space="preserve">Given the dominance of Use Phase emissions, investing in more energy-efficient designs or promoting renewable energy adoption by end-users (if applicable) will yield the greatest reductions. Exploring lower power modes or extended battery life could also be beneficial.</w:t>
      </w:r>
    </w:p>
    <w:p>
      <w:pPr>
        <w:numPr>
          <w:ilvl w:val="0"/>
          <w:numId w:val="1012"/>
        </w:numPr>
        <w:pStyle w:val="Compact"/>
      </w:pPr>
      <w:r>
        <w:rPr>
          <w:bCs/>
          <w:b/>
        </w:rPr>
        <w:t xml:space="preserve">Enhance Sustainable Sourcing:</w:t>
      </w:r>
      <w:r>
        <w:t xml:space="preserve"> </w:t>
      </w:r>
      <w:r>
        <w:t xml:space="preserve">Investigate opportunities to use materials with lower inherent carbon footprints. This includes increasing the recycled content of components beyond the current levels (e.g., for aluminum and plastics) and collaborating with suppliers to reduce their manufacturing emissions.</w:t>
      </w:r>
    </w:p>
    <w:p>
      <w:pPr>
        <w:numPr>
          <w:ilvl w:val="0"/>
          <w:numId w:val="1012"/>
        </w:numPr>
        <w:pStyle w:val="Compact"/>
      </w:pPr>
      <w:r>
        <w:rPr>
          <w:bCs/>
          <w:b/>
        </w:rPr>
        <w:t xml:space="preserve">Strengthen Circular Economy Initiatives:</w:t>
      </w:r>
      <w:r>
        <w:t xml:space="preserve"> </w:t>
      </w:r>
      <w:r>
        <w:t xml:space="preserve">Capitalize on the 80% recyclability and the existing take-back program. Explore opportunities for material closed-loop recycling and consider product refurbishment or remanufacturing to extend product lifespan and further reduce the need for virgin materials.</w:t>
      </w:r>
    </w:p>
    <w:p>
      <w:pPr>
        <w:numPr>
          <w:ilvl w:val="0"/>
          <w:numId w:val="1012"/>
        </w:numPr>
        <w:pStyle w:val="Compact"/>
      </w:pPr>
      <w:r>
        <w:rPr>
          <w:bCs/>
          <w:b/>
        </w:rPr>
        <w:t xml:space="preserve">Supplier Engagement:</w:t>
      </w:r>
      <w:r>
        <w:t xml:space="preserve"> </w:t>
      </w:r>
      <w:r>
        <w:t xml:space="preserve">Work closely with supply chain partners to collect more primary data on their operational emissions and to encourage them to adopt renewable energy and energy efficiency measures.</w:t>
      </w:r>
    </w:p>
    <w:p>
      <w:pPr>
        <w:pStyle w:val="FirstParagraph"/>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Eco-Widget 3000 (noytozwtuk)</dc:title>
  <dc:creator/>
  <dc:description>High-detail Product Carbon Footprint (PCF) analysis report for Eco-Widget 3000 (noytozwtuk) by wmsdrzvsfr, prepared by Senior Sustainability Consultant pyonyeqlje, adhering to GHG Protocol standards including 2026 LSR Update and Scope 3 compliance.</dc:description>
  <dc:language>en</dc:language>
  <cp:keywords/>
  <dcterms:created xsi:type="dcterms:W3CDTF">2026-07-15T05:24:45Z</dcterms:created>
  <dcterms:modified xsi:type="dcterms:W3CDTF">2026-07-15T05:24:45Z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