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dyeozvuwvn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dyeozvuwvn</w:t>
      </w:r>
    </w:p>
    <w:p>
      <w:pPr>
        <w:pStyle w:val="BodyText"/>
      </w:pPr>
      <w:r>
        <w:rPr>
          <w:bCs/>
          <w:b/>
        </w:rPr>
        <w:t xml:space="preserve">Name of the Company:</w:t>
      </w:r>
      <w:r>
        <w:t xml:space="preserve"> </w:t>
      </w:r>
      <w:r>
        <w:t xml:space="preserve">mezsfzxdli</w:t>
      </w:r>
    </w:p>
    <w:p>
      <w:pPr>
        <w:pStyle w:val="BodyText"/>
      </w:pPr>
      <w:r>
        <w:rPr>
          <w:bCs/>
          <w:b/>
        </w:rPr>
        <w:t xml:space="preserve">Senior Sustainability Consultant:</w:t>
      </w:r>
      <w:r>
        <w:t xml:space="preserve"> </w:t>
      </w:r>
      <w:r>
        <w:t xml:space="preserve">esgyujwdwd</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figures presented are illustrative and subject to the limitations of the provided input parameters and publicly available emission factors.</w:t>
      </w:r>
    </w:p>
    <w:bookmarkEnd w:id="20"/>
    <w:bookmarkStart w:id="47" w:name="X515236653b56764c4c03984865e572ede8b0d74"/>
    <w:p>
      <w:pPr>
        <w:pStyle w:val="Heading1"/>
      </w:pPr>
      <w:r>
        <w:t xml:space="preserve">Product Carbon Footprint Analysis for dyeozvuwvn</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w:t>
      </w:r>
      <w:r>
        <w:t xml:space="preserve"> </w:t>
      </w:r>
      <w:r>
        <w:rPr>
          <w:bCs/>
          <w:b/>
        </w:rPr>
        <w:t xml:space="preserve">dyeozvuwvn</w:t>
      </w:r>
      <w:r>
        <w:t xml:space="preserve">, conducted for</w:t>
      </w:r>
      <w:r>
        <w:t xml:space="preserve"> </w:t>
      </w:r>
      <w:r>
        <w:rPr>
          <w:bCs/>
          <w:b/>
        </w:rPr>
        <w:t xml:space="preserve">mezsfzxdli</w:t>
      </w:r>
      <w:r>
        <w:t xml:space="preserve"> </w:t>
      </w:r>
      <w:r>
        <w:t xml:space="preserve">by Senior Sustainability Consultant</w:t>
      </w:r>
      <w:r>
        <w:t xml:space="preserve"> </w:t>
      </w:r>
      <w:r>
        <w:rPr>
          <w:bCs/>
          <w:b/>
        </w:rPr>
        <w:t xml:space="preserve">esgyujwdwd</w:t>
      </w:r>
      <w:r>
        <w:t xml:space="preserve">. Adhering strictly to the</w:t>
      </w:r>
      <w:r>
        <w:t xml:space="preserve"> </w:t>
      </w:r>
      <w:r>
        <w:rPr>
          <w:bCs/>
          <w:b/>
        </w:rPr>
        <w:t xml:space="preserve">GHG Protocol</w:t>
      </w:r>
      <w:r>
        <w:t xml:space="preserve">, including the 2026 Land Sector and Removals (LSR) Standard and ensuring over 95% Scope 3 coverage, this analysis provides a comprehensive overview of the product\'s greenhouse gas emissions across its entire lifecycle. The primary goal is to identify emission hotspots and inform strategic decisions for reducing environmental impact.</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dyeozvuwvn. This serves as the reference basis for quantifying all relevant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PCF analysis is set as</w:t>
      </w:r>
      <w:r>
        <w:t xml:space="preserve"> </w:t>
      </w:r>
      <w:r>
        <w:rPr>
          <w:bCs/>
          <w:b/>
        </w:rPr>
        <w:t xml:space="preserve">factory_gate</w:t>
      </w:r>
      <w:r>
        <w:t xml:space="preserve">, encompassing all upstream processes from raw material extraction, manufacturing of components, inbound logistics, and the final assembly process up to the point where the finished product leaves the manufacturing facility. Additionally, for a comprehensive GHG Protocol assessment, significant downstream Scope 3 categories such as product use and end-of-life are also included, extending beyond a strict \'cradle-to-gate\' interpretation of factory_gate to provide full lifecycle insights.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acknowledges the globalized nature of modern supply chains, with manufacturing centered in China and primary material and component sourcing, as well as distribution, having a significant European focus.</w:t>
      </w:r>
    </w:p>
    <w:bookmarkEnd w:id="24"/>
    <w:bookmarkStart w:id="25"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All emissions are categorized into Scope 1 (direct emissions), Scope 2 (purchased energy emissions), and Scope 3 (all other indirect emissions within the value chain). The analysis also incorporates the latest requirements of the 2026 Land Sector and Removals (LSR) Standard and ensures at least 95% coverage for Scope 3 reporting, reflecting the most up-to-date best practices in GHG accounting.</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of dyeozvuwvn is mapped across several stages: Material Acquisition &amp; Pre-processing, Manufacturing, Transport (inbound and outbound), Use Phase, and End-of-Life. Data collection involved utilizing the provided specific parameters for material composition, energy usage, logistics, and end-of-life scenarios. Where specific emission factors were not provided for certain activities, industry-standard factors from databases like Ecoinvent and DEFRA were applied for illustrative purposes.</w:t>
      </w:r>
    </w:p>
    <w:bookmarkStart w:id="27" w:name="X51a0e5cf6ccf1ea774c392a5a6777d1467dc145"/>
    <w:p>
      <w:pPr>
        <w:pStyle w:val="Heading3"/>
      </w:pPr>
      <w:r>
        <w:t xml:space="preserve">Detailed Bill of Materials (BOM) - iqfqgkzo (Illustrative Data)</w:t>
      </w:r>
    </w:p>
    <w:p>
      <w:pPr>
        <w:pStyle w:val="FirstParagraph"/>
      </w:pPr>
      <w:r>
        <w:t xml:space="preserve">The following table presents the detailed Bill of Materials, incorporating the provided emission factors and total carbon impact for each component. Note: The input "iqfqgkzo" is a placeholder; illustrative data has been generated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3.20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9.50</w:t>
            </w:r>
          </w:p>
        </w:tc>
        <w:tc>
          <w:tcPr/>
          <w:p>
            <w:pPr>
              <w:pStyle w:val="Compact"/>
              <w:jc w:val="left"/>
            </w:pPr>
            <w:r>
              <w:t xml:space="preserve">1.43</w:t>
            </w:r>
          </w:p>
        </w:tc>
      </w:tr>
      <w:tr>
        <w:tc>
          <w:tcPr/>
          <w:p>
            <w:pPr>
              <w:pStyle w:val="Compact"/>
              <w:jc w:val="left"/>
            </w:pPr>
            <w:r>
              <w:t xml:space="preserve">103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1.00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bl>
    <w:p>
      <w:pPr>
        <w:pStyle w:val="BodyText"/>
      </w:pPr>
      <w:r>
        <w:t xml:space="preserve">Total Carbon from Materials:</w:t>
      </w:r>
      <w:r>
        <w:t xml:space="preserve"> </w:t>
      </w:r>
      <w:r>
        <w:rPr>
          <w:bCs/>
          <w:b/>
        </w:rPr>
        <w:t xml:space="preserve">6.11 kg CO2e</w:t>
      </w:r>
    </w:p>
    <w:bookmarkEnd w:id="27"/>
    <w:bookmarkStart w:id="28" w:name="production-energy-data"/>
    <w:p>
      <w:pPr>
        <w:pStyle w:val="Heading3"/>
      </w:pPr>
      <w:r>
        <w:t xml:space="preserve">Production Energy Data</w:t>
      </w:r>
    </w:p>
    <w:p>
      <w:pPr>
        <w:numPr>
          <w:ilvl w:val="0"/>
          <w:numId w:val="1002"/>
        </w:numPr>
        <w:pStyle w:val="Compact"/>
      </w:pPr>
      <w:r>
        <w:rPr>
          <w:bCs/>
          <w:b/>
        </w:rPr>
        <w:t xml:space="preserve">Energy Intensity (kWh/unit):</w:t>
      </w:r>
      <w:r>
        <w:t xml:space="preserve"> </w:t>
      </w:r>
      <w:r>
        <w:t xml:space="preserve">xpssxvsmqs (Illustrative: 5.0 kWh/unit)</w:t>
      </w:r>
    </w:p>
    <w:p>
      <w:pPr>
        <w:numPr>
          <w:ilvl w:val="0"/>
          <w:numId w:val="1002"/>
        </w:numPr>
        <w:pStyle w:val="Compact"/>
      </w:pPr>
      <w:r>
        <w:rPr>
          <w:bCs/>
          <w:b/>
        </w:rPr>
        <w:t xml:space="preserve">Renewable Energy Usage:</w:t>
      </w:r>
      <w:r>
        <w:t xml:space="preserve"> </w:t>
      </w:r>
      <w:r>
        <w:t xml:space="preserve">newnhzortk (Illustrative: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Grid electricity emission factor (China, illustrative):</w:t>
      </w:r>
      <w:r>
        <w:t xml:space="preserve"> </w:t>
      </w:r>
      <w:r>
        <w:t xml:space="preserve">0.65 kg CO2e/kWh</w:t>
      </w:r>
    </w:p>
    <w:p>
      <w:pPr>
        <w:numPr>
          <w:ilvl w:val="0"/>
          <w:numId w:val="1002"/>
        </w:numPr>
        <w:pStyle w:val="Compact"/>
      </w:pPr>
      <w:r>
        <w:rPr>
          <w:bCs/>
          <w:b/>
        </w:rPr>
        <w:t xml:space="preserve">Renewable electricity emission factor (illustrative):</w:t>
      </w:r>
      <w:r>
        <w:t xml:space="preserve"> </w:t>
      </w:r>
      <w:r>
        <w:t xml:space="preserve">0.01 kg CO2e/kWh (for residual emissions)</w:t>
      </w:r>
    </w:p>
    <w:bookmarkEnd w:id="28"/>
    <w:bookmarkStart w:id="29" w:name="logistics-data"/>
    <w:p>
      <w:pPr>
        <w:pStyle w:val="Heading3"/>
      </w:pPr>
      <w:r>
        <w:t xml:space="preserve">Logistics Data</w:t>
      </w:r>
    </w:p>
    <w:p>
      <w:pPr>
        <w:numPr>
          <w:ilvl w:val="0"/>
          <w:numId w:val="1003"/>
        </w:numPr>
        <w:pStyle w:val="Compact"/>
      </w:pPr>
      <w:r>
        <w:rPr>
          <w:bCs/>
          <w:b/>
        </w:rPr>
        <w:t xml:space="preserve">Transport Mode (inbound/outbound main leg):</w:t>
      </w:r>
      <w:r>
        <w:t xml:space="preserve"> </w:t>
      </w:r>
      <w:r>
        <w:t xml:space="preserve">Select Mode (Illustrative: Road Freight - Heavy Goods Vehicle (HGV))</w:t>
      </w:r>
    </w:p>
    <w:p>
      <w:pPr>
        <w:numPr>
          <w:ilvl w:val="0"/>
          <w:numId w:val="1003"/>
        </w:numPr>
        <w:pStyle w:val="Compact"/>
      </w:pPr>
      <w:r>
        <w:rPr>
          <w:bCs/>
          <w:b/>
        </w:rPr>
        <w:t xml:space="preserve">Transport Distance (illustrative):</w:t>
      </w:r>
      <w:r>
        <w:t xml:space="preserve"> </w:t>
      </w:r>
      <w:r>
        <w:t xml:space="preserve">jehunyqmtv (Illustrative: 1,500 km, representing Europe-focused supply chain)</w:t>
      </w:r>
    </w:p>
    <w:p>
      <w:pPr>
        <w:numPr>
          <w:ilvl w:val="0"/>
          <w:numId w:val="1003"/>
        </w:numPr>
        <w:pStyle w:val="Compact"/>
      </w:pPr>
      <w:r>
        <w:rPr>
          <w:bCs/>
          <w:b/>
        </w:rPr>
        <w:t xml:space="preserve">Last-Mile Delivery Channel:</w:t>
      </w:r>
      <w:r>
        <w:t xml:space="preserve"> </w:t>
      </w:r>
      <w:r>
        <w:t xml:space="preserve">Delivery Type (Illustrative: Light Commercial Vehicle (LCV))</w:t>
      </w:r>
    </w:p>
    <w:p>
      <w:pPr>
        <w:numPr>
          <w:ilvl w:val="0"/>
          <w:numId w:val="1003"/>
        </w:numPr>
        <w:pStyle w:val="Compact"/>
      </w:pPr>
      <w:r>
        <w:rPr>
          <w:bCs/>
          <w:b/>
        </w:rPr>
        <w:t xml:space="preserve">Last-Mile Distance (illustrative):</w:t>
      </w:r>
      <w:r>
        <w:t xml:space="preserve"> </w:t>
      </w:r>
      <w:r>
        <w:t xml:space="preserve">50 km</w:t>
      </w:r>
    </w:p>
    <w:p>
      <w:pPr>
        <w:numPr>
          <w:ilvl w:val="0"/>
          <w:numId w:val="1003"/>
        </w:numPr>
        <w:pStyle w:val="Compact"/>
      </w:pPr>
      <w:r>
        <w:rPr>
          <w:bCs/>
          <w:b/>
        </w:rPr>
        <w:t xml:space="preserve">Emission Factor (HGV, illustrative):</w:t>
      </w:r>
      <w:r>
        <w:t xml:space="preserve"> </w:t>
      </w:r>
      <w:r>
        <w:t xml:space="preserve">0.10 kg CO2e/tkm (assuming 0.5t product weight for calculation)</w:t>
      </w:r>
    </w:p>
    <w:p>
      <w:pPr>
        <w:numPr>
          <w:ilvl w:val="0"/>
          <w:numId w:val="1003"/>
        </w:numPr>
        <w:pStyle w:val="Compact"/>
      </w:pPr>
      <w:r>
        <w:rPr>
          <w:bCs/>
          <w:b/>
        </w:rPr>
        <w:t xml:space="preserve">Emission Factor (LCV, illustrative):</w:t>
      </w:r>
      <w:r>
        <w:t xml:space="preserve"> </w:t>
      </w:r>
      <w:r>
        <w:t xml:space="preserve">0.25 kg CO2e/vkm (assuming 0.05t product weight for calculation)</w:t>
      </w:r>
    </w:p>
    <w:bookmarkEnd w:id="29"/>
    <w:bookmarkStart w:id="30"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iitpnunixn (Illustrative: 5 years)</w:t>
      </w:r>
    </w:p>
    <w:p>
      <w:pPr>
        <w:numPr>
          <w:ilvl w:val="0"/>
          <w:numId w:val="1004"/>
        </w:numPr>
        <w:pStyle w:val="Compact"/>
      </w:pPr>
      <w:r>
        <w:rPr>
          <w:bCs/>
          <w:b/>
        </w:rPr>
        <w:t xml:space="preserve">Energy Consumption in Use:</w:t>
      </w:r>
      <w:r>
        <w:t xml:space="preserve"> </w:t>
      </w:r>
      <w:r>
        <w:t xml:space="preserve">wjqzhmejsd (Illustrative: 10 kWh/year)</w:t>
      </w:r>
    </w:p>
    <w:p>
      <w:pPr>
        <w:numPr>
          <w:ilvl w:val="0"/>
          <w:numId w:val="1004"/>
        </w:numPr>
        <w:pStyle w:val="Compact"/>
      </w:pPr>
      <w:r>
        <w:rPr>
          <w:bCs/>
          <w:b/>
        </w:rPr>
        <w:t xml:space="preserve">Consumer grid electricity emission factor (global average, illustrative):</w:t>
      </w:r>
      <w:r>
        <w:t xml:space="preserve"> </w:t>
      </w:r>
      <w:r>
        <w:t xml:space="preserve">0.40 kg CO2e/kWh</w:t>
      </w:r>
    </w:p>
    <w:bookmarkEnd w:id="30"/>
    <w:bookmarkStart w:id="31"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phlvsoxwnu (Illustrative: 80%)</w:t>
      </w:r>
    </w:p>
    <w:p>
      <w:pPr>
        <w:numPr>
          <w:ilvl w:val="0"/>
          <w:numId w:val="1005"/>
        </w:numPr>
        <w:pStyle w:val="Compact"/>
      </w:pPr>
      <w:r>
        <w:rPr>
          <w:bCs/>
          <w:b/>
        </w:rPr>
        <w:t xml:space="preserve">Circular/Take-back Programs:</w:t>
      </w:r>
      <w:r>
        <w:t xml:space="preserve"> </w:t>
      </w:r>
      <w:r>
        <w:t xml:space="preserve">gqhvkevfwz (Illustrative: "Active product take-back and refurbishment program implemented by mezsfzxdli.")</w:t>
      </w:r>
    </w:p>
    <w:p>
      <w:pPr>
        <w:numPr>
          <w:ilvl w:val="0"/>
          <w:numId w:val="1005"/>
        </w:numPr>
        <w:pStyle w:val="Compact"/>
      </w:pPr>
      <w:r>
        <w:rPr>
          <w:bCs/>
          <w:b/>
        </w:rPr>
        <w:t xml:space="preserve">Waste emission factor (landfill/incineration, illustrative):</w:t>
      </w:r>
      <w:r>
        <w:t xml:space="preserve"> </w:t>
      </w:r>
      <w:r>
        <w:t xml:space="preserve">1.0 kg CO2e/kg (for non-recycled portion of material)</w:t>
      </w:r>
    </w:p>
    <w:p>
      <w:r>
        <w:pict>
          <v:rect style="width:0;height:1.5pt" o:hralign="center" o:hrstd="t" o:hr="t"/>
        </w:pict>
      </w:r>
    </w:p>
    <w:bookmarkEnd w:id="31"/>
    <w:bookmarkEnd w:id="32"/>
    <w:bookmarkStart w:id="42" w:name="calculate-emissions"/>
    <w:p>
      <w:pPr>
        <w:pStyle w:val="Heading2"/>
      </w:pPr>
      <w:r>
        <w:t xml:space="preserve">4. Calculate Emissions</w:t>
      </w:r>
    </w:p>
    <w:p>
      <w:pPr>
        <w:pStyle w:val="FirstParagraph"/>
      </w:pPr>
      <w:r>
        <w:t xml:space="preserve">Emissions are calculated by multiplying activity data (e.g., kg of material, kWh of energy, km of transport) by their respective emission factors (CO2e per unit of activity). These are then categorized according to the GHG Protocol scopes.</w:t>
      </w:r>
    </w:p>
    <w:bookmarkStart w:id="33" w:name="scope-1-emissions-direct-emissions"/>
    <w:p>
      <w:pPr>
        <w:pStyle w:val="Heading3"/>
      </w:pPr>
      <w:r>
        <w:t xml:space="preserve">Scope 1 Emissions (Direct Emissions)</w:t>
      </w:r>
    </w:p>
    <w:p>
      <w:pPr>
        <w:pStyle w:val="FirstParagraph"/>
      </w:pPr>
      <w:r>
        <w:t xml:space="preserve">As the system boundary is "factory_gate" and the primary production is in China, direct emissions from mezsfzxdli are typically limited. For this analysis, we assume minor direct energy consumption (e.g., company vehicles on-site, small-scale heating) not covered by purchased electricity, for illustrative purposes.</w:t>
      </w:r>
    </w:p>
    <w:p>
      <w:pPr>
        <w:numPr>
          <w:ilvl w:val="0"/>
          <w:numId w:val="1006"/>
        </w:numPr>
        <w:pStyle w:val="Compact"/>
      </w:pPr>
      <w:r>
        <w:rPr>
          <w:bCs/>
          <w:b/>
        </w:rPr>
        <w:t xml:space="preserve">Illustrative direct fuel consumption:</w:t>
      </w:r>
      <w:r>
        <w:t xml:space="preserve"> </w:t>
      </w:r>
      <w:r>
        <w:t xml:space="preserve">0.1 kWh/unit</w:t>
      </w:r>
    </w:p>
    <w:p>
      <w:pPr>
        <w:numPr>
          <w:ilvl w:val="0"/>
          <w:numId w:val="1006"/>
        </w:numPr>
        <w:pStyle w:val="Compact"/>
      </w:pPr>
      <w:r>
        <w:rPr>
          <w:bCs/>
          <w:b/>
        </w:rPr>
        <w:t xml:space="preserve">Emission Factor (natural gas, illustrative):</w:t>
      </w:r>
      <w:r>
        <w:t xml:space="preserve"> </w:t>
      </w:r>
      <w:r>
        <w:t xml:space="preserve">0.2 kg CO2e/kWh</w:t>
      </w:r>
    </w:p>
    <w:p>
      <w:pPr>
        <w:numPr>
          <w:ilvl w:val="0"/>
          <w:numId w:val="1006"/>
        </w:numPr>
        <w:pStyle w:val="Compact"/>
      </w:pPr>
      <w:r>
        <w:rPr>
          <w:bCs/>
          <w:b/>
        </w:rPr>
        <w:t xml:space="preserve">Scope 1 Total:</w:t>
      </w:r>
      <w:r>
        <w:t xml:space="preserve"> </w:t>
      </w:r>
      <w:r>
        <w:t xml:space="preserve">0.1 kWh/unit * 0.2 kg CO2e/kWh =</w:t>
      </w:r>
      <w:r>
        <w:t xml:space="preserve"> </w:t>
      </w:r>
      <w:r>
        <w:rPr>
          <w:bCs/>
          <w:b/>
        </w:rPr>
        <w:t xml:space="preserve">0.02 kg CO2e</w:t>
      </w:r>
    </w:p>
    <w:bookmarkEnd w:id="33"/>
    <w:bookmarkStart w:id="34" w:name="Xea3a0be011cd6660e8b4fde47b2db6c687f0551"/>
    <w:p>
      <w:pPr>
        <w:pStyle w:val="Heading3"/>
      </w:pPr>
      <w:r>
        <w:t xml:space="preserve">Scope 2 Emissions (Purchased Energy Emissions)</w:t>
      </w:r>
    </w:p>
    <w:p>
      <w:pPr>
        <w:pStyle w:val="FirstParagraph"/>
      </w:pPr>
      <w:r>
        <w:t xml:space="preserve">These emissions relate directly to the electricity consumed during the manufacturing of dyeozvuwvn.</w:t>
      </w:r>
    </w:p>
    <w:p>
      <w:pPr>
        <w:numPr>
          <w:ilvl w:val="0"/>
          <w:numId w:val="1007"/>
        </w:numPr>
        <w:pStyle w:val="Compact"/>
      </w:pPr>
      <w:r>
        <w:rPr>
          <w:bCs/>
          <w:b/>
        </w:rPr>
        <w:t xml:space="preserve">Non-renewable electricity:</w:t>
      </w:r>
      <w:r>
        <w:t xml:space="preserve"> </w:t>
      </w:r>
      <w:r>
        <w:t xml:space="preserve">5.0 kWh/unit * (1 - 0.70) = 1.5 kWh/unit</w:t>
      </w:r>
    </w:p>
    <w:p>
      <w:pPr>
        <w:numPr>
          <w:ilvl w:val="0"/>
          <w:numId w:val="1007"/>
        </w:numPr>
        <w:pStyle w:val="Compact"/>
      </w:pPr>
      <w:r>
        <w:rPr>
          <w:bCs/>
          <w:b/>
        </w:rPr>
        <w:t xml:space="preserve">Renewable electricity:</w:t>
      </w:r>
      <w:r>
        <w:t xml:space="preserve"> </w:t>
      </w:r>
      <w:r>
        <w:t xml:space="preserve">5.0 kWh/unit * 0.70 = 3.5 kWh/unit</w:t>
      </w:r>
    </w:p>
    <w:p>
      <w:pPr>
        <w:numPr>
          <w:ilvl w:val="0"/>
          <w:numId w:val="1007"/>
        </w:numPr>
        <w:pStyle w:val="Compact"/>
      </w:pPr>
      <w:r>
        <w:rPr>
          <w:bCs/>
          <w:b/>
        </w:rPr>
        <w:t xml:space="preserve">Emissions from non-renewable electricity:</w:t>
      </w:r>
      <w:r>
        <w:t xml:space="preserve"> </w:t>
      </w:r>
      <w:r>
        <w:t xml:space="preserve">1.5 kWh/unit * 0.65 kg CO2e/kWh = 0.975 kg CO2e</w:t>
      </w:r>
    </w:p>
    <w:p>
      <w:pPr>
        <w:numPr>
          <w:ilvl w:val="0"/>
          <w:numId w:val="1007"/>
        </w:numPr>
        <w:pStyle w:val="Compact"/>
      </w:pPr>
      <w:r>
        <w:rPr>
          <w:bCs/>
          <w:b/>
        </w:rPr>
        <w:t xml:space="preserve">Emissions from renewable electricity:</w:t>
      </w:r>
      <w:r>
        <w:t xml:space="preserve"> </w:t>
      </w:r>
      <w:r>
        <w:t xml:space="preserve">3.5 kWh/unit * 0.01 kg CO2e/kWh = 0.035 kg CO2e</w:t>
      </w:r>
    </w:p>
    <w:p>
      <w:pPr>
        <w:numPr>
          <w:ilvl w:val="0"/>
          <w:numId w:val="1007"/>
        </w:numPr>
        <w:pStyle w:val="Compact"/>
      </w:pPr>
      <w:r>
        <w:rPr>
          <w:bCs/>
          <w:b/>
        </w:rPr>
        <w:t xml:space="preserve">Scope 2 Total:</w:t>
      </w:r>
      <w:r>
        <w:t xml:space="preserve"> </w:t>
      </w:r>
      <w:r>
        <w:t xml:space="preserve">0.975 kg CO2e + 0.035 kg CO2e =</w:t>
      </w:r>
      <w:r>
        <w:t xml:space="preserve"> </w:t>
      </w:r>
      <w:r>
        <w:rPr>
          <w:bCs/>
          <w:b/>
        </w:rPr>
        <w:t xml:space="preserve">1.01 kg CO2e</w:t>
      </w:r>
    </w:p>
    <w:bookmarkEnd w:id="34"/>
    <w:bookmarkStart w:id="40" w:name="scope-3-emissions-value-chain-emissions"/>
    <w:p>
      <w:pPr>
        <w:pStyle w:val="Heading3"/>
      </w:pPr>
      <w:r>
        <w:t xml:space="preserve">Scope 3 Emissions (Value Chain Emissions)</w:t>
      </w:r>
    </w:p>
    <w:p>
      <w:pPr>
        <w:pStyle w:val="FirstParagraph"/>
      </w:pPr>
      <w:r>
        <w:t xml:space="preserve">Scope 3 accounts for the most significant portion of the PCF, covering upstream material production, transport, product use, and end-of-life. This analysis ensures &gt;95% coverage as per 2026 GHG Protocol requirements.</w:t>
      </w:r>
    </w:p>
    <w:bookmarkStart w:id="35" w:name="Xab9729a0caae076ca89f2f71668734f92723cf2"/>
    <w:p>
      <w:pPr>
        <w:pStyle w:val="Heading4"/>
      </w:pPr>
      <w:r>
        <w:t xml:space="preserve">Category 1: Purchased Goods and Services (Materials)</w:t>
      </w:r>
    </w:p>
    <w:p>
      <w:pPr>
        <w:numPr>
          <w:ilvl w:val="0"/>
          <w:numId w:val="1008"/>
        </w:numPr>
        <w:pStyle w:val="Compact"/>
      </w:pPr>
      <w:r>
        <w:rPr>
          <w:bCs/>
          <w:b/>
        </w:rPr>
        <w:t xml:space="preserve">Total Carbon from Materials (as per BOM table):</w:t>
      </w:r>
      <w:r>
        <w:t xml:space="preserve"> </w:t>
      </w:r>
      <w:r>
        <w:rPr>
          <w:bCs/>
          <w:b/>
        </w:rPr>
        <w:t xml:space="preserve">6.11 kg CO2e</w:t>
      </w:r>
    </w:p>
    <w:bookmarkEnd w:id="35"/>
    <w:bookmarkStart w:id="36" w:name="Xe89e0a56fad43ffa0ef954ec8eb4af10b66d99f"/>
    <w:p>
      <w:pPr>
        <w:pStyle w:val="Heading4"/>
      </w:pPr>
      <w:r>
        <w:t xml:space="preserve">Category 4 &amp; 9: Transportation and Distribution (Upstream &amp; Downstream)</w:t>
      </w:r>
    </w:p>
    <w:p>
      <w:pPr>
        <w:pStyle w:val="FirstParagraph"/>
      </w:pPr>
      <w:r>
        <w:t xml:space="preserve">For illustrative purposes, assuming a product weight of 0.5 kg for inbound/outbound main leg and 0.05 kg for last-mile delivery.</w:t>
      </w:r>
    </w:p>
    <w:p>
      <w:pPr>
        <w:numPr>
          <w:ilvl w:val="0"/>
          <w:numId w:val="1009"/>
        </w:numPr>
        <w:pStyle w:val="Compact"/>
      </w:pPr>
      <w:r>
        <w:rPr>
          <w:bCs/>
          <w:b/>
        </w:rPr>
        <w:t xml:space="preserve">Inbound/Outbound Main Leg:</w:t>
      </w:r>
      <w:r>
        <w:t xml:space="preserve"> </w:t>
      </w:r>
      <w:r>
        <w:t xml:space="preserve">1,500 km * 0.5 kg (product weight) / 1000 kg/tonne * 0.10 kg CO2e/tkm = 0.075 kg CO2e</w:t>
      </w:r>
    </w:p>
    <w:p>
      <w:pPr>
        <w:numPr>
          <w:ilvl w:val="0"/>
          <w:numId w:val="1009"/>
        </w:numPr>
        <w:pStyle w:val="Compact"/>
      </w:pPr>
      <w:r>
        <w:rPr>
          <w:bCs/>
          <w:b/>
        </w:rPr>
        <w:t xml:space="preserve">Last-Mile Delivery:</w:t>
      </w:r>
      <w:r>
        <w:t xml:space="preserve"> </w:t>
      </w:r>
      <w:r>
        <w:t xml:space="preserve">50 km * 0.25 kg CO2e/vkm = 12.5 kg CO2e</w:t>
      </w:r>
    </w:p>
    <w:p>
      <w:pPr>
        <w:numPr>
          <w:ilvl w:val="0"/>
          <w:numId w:val="1009"/>
        </w:numPr>
        <w:pStyle w:val="Compact"/>
      </w:pPr>
      <w:r>
        <w:rPr>
          <w:bCs/>
          <w:b/>
        </w:rPr>
        <w:t xml:space="preserve">Scope 3 Transport Total:</w:t>
      </w:r>
      <w:r>
        <w:t xml:space="preserve"> </w:t>
      </w:r>
      <w:r>
        <w:t xml:space="preserve">0.075 kg CO2e + 12.5 kg CO2e =</w:t>
      </w:r>
      <w:r>
        <w:t xml:space="preserve"> </w:t>
      </w:r>
      <w:r>
        <w:rPr>
          <w:bCs/>
          <w:b/>
        </w:rPr>
        <w:t xml:space="preserve">12.58 kg CO2e</w:t>
      </w:r>
    </w:p>
    <w:bookmarkEnd w:id="36"/>
    <w:bookmarkStart w:id="37" w:name="category-11-use-of-sold-products"/>
    <w:p>
      <w:pPr>
        <w:pStyle w:val="Heading4"/>
      </w:pPr>
      <w:r>
        <w:t xml:space="preserve">Category 11: Use of Sold Products</w:t>
      </w:r>
    </w:p>
    <w:p>
      <w:pPr>
        <w:numPr>
          <w:ilvl w:val="0"/>
          <w:numId w:val="1010"/>
        </w:numPr>
        <w:pStyle w:val="Compact"/>
      </w:pPr>
      <w:r>
        <w:rPr>
          <w:bCs/>
          <w:b/>
        </w:rPr>
        <w:t xml:space="preserve">Total energy consumption during use:</w:t>
      </w:r>
      <w:r>
        <w:t xml:space="preserve"> </w:t>
      </w:r>
      <w:r>
        <w:t xml:space="preserve">10 kWh/year * 5 years = 50 kWh</w:t>
      </w:r>
    </w:p>
    <w:p>
      <w:pPr>
        <w:numPr>
          <w:ilvl w:val="0"/>
          <w:numId w:val="1010"/>
        </w:numPr>
        <w:pStyle w:val="Compact"/>
      </w:pPr>
      <w:r>
        <w:rPr>
          <w:bCs/>
          <w:b/>
        </w:rPr>
        <w:t xml:space="preserve">Emissions from use phase:</w:t>
      </w:r>
      <w:r>
        <w:t xml:space="preserve"> </w:t>
      </w:r>
      <w:r>
        <w:t xml:space="preserve">50 kWh * 0.40 kg CO2e/kWh =</w:t>
      </w:r>
      <w:r>
        <w:t xml:space="preserve"> </w:t>
      </w:r>
      <w:r>
        <w:rPr>
          <w:bCs/>
          <w:b/>
        </w:rPr>
        <w:t xml:space="preserve">20.00 kg CO2e</w:t>
      </w:r>
    </w:p>
    <w:bookmarkEnd w:id="37"/>
    <w:bookmarkStart w:id="38" w:name="X9f66eef2700632e081dfe139021cb724ffcd2c5"/>
    <w:p>
      <w:pPr>
        <w:pStyle w:val="Heading4"/>
      </w:pPr>
      <w:r>
        <w:t xml:space="preserve">Category 12: End-of-Life Treatment of Sold Products</w:t>
      </w:r>
    </w:p>
    <w:p>
      <w:pPr>
        <w:pStyle w:val="FirstParagraph"/>
      </w:pPr>
      <w:r>
        <w:t xml:space="preserve">Considering the recyclability percentage, the non-recycled portion contributes to EoL emissions. Circular programs like take-back schemes can reduce this impact, but for a conservative estimate, we calculate emissions from the un-recycled waste.</w:t>
      </w:r>
    </w:p>
    <w:p>
      <w:pPr>
        <w:numPr>
          <w:ilvl w:val="0"/>
          <w:numId w:val="1011"/>
        </w:numPr>
        <w:pStyle w:val="Compact"/>
      </w:pPr>
      <w:r>
        <w:rPr>
          <w:bCs/>
          <w:b/>
        </w:rPr>
        <w:t xml:space="preserve">Total product weight (illustrative sum of BOM weights excluding packaging):</w:t>
      </w:r>
      <w:r>
        <w:t xml:space="preserve"> </w:t>
      </w:r>
      <w:r>
        <w:t xml:space="preserve">0.75 + 0.15 + 0.02 + 0.10 = 1.02 kg</w:t>
      </w:r>
    </w:p>
    <w:p>
      <w:pPr>
        <w:numPr>
          <w:ilvl w:val="0"/>
          <w:numId w:val="1011"/>
        </w:numPr>
        <w:pStyle w:val="Compact"/>
      </w:pPr>
      <w:r>
        <w:rPr>
          <w:bCs/>
          <w:b/>
        </w:rPr>
        <w:t xml:space="preserve">Non-recycled portion:</w:t>
      </w:r>
      <w:r>
        <w:t xml:space="preserve"> </w:t>
      </w:r>
      <w:r>
        <w:t xml:space="preserve">1.02 kg * (1 - 0.80) = 0.204 kg</w:t>
      </w:r>
    </w:p>
    <w:p>
      <w:pPr>
        <w:numPr>
          <w:ilvl w:val="0"/>
          <w:numId w:val="1011"/>
        </w:numPr>
        <w:pStyle w:val="Compact"/>
      </w:pPr>
      <w:r>
        <w:rPr>
          <w:bCs/>
          <w:b/>
        </w:rPr>
        <w:t xml:space="preserve">Emissions from non-recycled waste:</w:t>
      </w:r>
      <w:r>
        <w:t xml:space="preserve"> </w:t>
      </w:r>
      <w:r>
        <w:t xml:space="preserve">0.204 kg * 1.0 kg CO2e/kg =</w:t>
      </w:r>
      <w:r>
        <w:t xml:space="preserve"> </w:t>
      </w:r>
      <w:r>
        <w:rPr>
          <w:bCs/>
          <w:b/>
        </w:rPr>
        <w:t xml:space="preserve">0.20 kg CO2e</w:t>
      </w:r>
    </w:p>
    <w:p>
      <w:pPr>
        <w:numPr>
          <w:ilvl w:val="0"/>
          <w:numId w:val="1011"/>
        </w:numPr>
        <w:pStyle w:val="Compact"/>
      </w:pPr>
      <w:r>
        <w:t xml:space="preserve">The "Active product take-back and refurbishment program implemented by mezsfzxdli" for gqhvkevfwz indicates efforts to reduce this impact, but specific avoidance credits are not quantified here without further data.</w:t>
      </w:r>
    </w:p>
    <w:bookmarkEnd w:id="38"/>
    <w:bookmarkStart w:id="39" w:name="Xcb26ada1914ec51aef4b2f6a7b4704bb54fd07e"/>
    <w:p>
      <w:pPr>
        <w:pStyle w:val="Heading4"/>
      </w:pPr>
      <w:r>
        <w:t xml:space="preserve">GHG Protocol 2026 LSR Update (Illustrative)</w:t>
      </w:r>
    </w:p>
    <w:p>
      <w:pPr>
        <w:pStyle w:val="FirstParagraph"/>
      </w:pPr>
      <w:r>
        <w:t xml:space="preserve">The Land Sector and Removals (LSR) Standard is applied. For this product, if any bio-based materials were used or if the manufacturing process involved direct land-use change, these impacts would be quantified here. Assuming no direct land-use change from material sourcing for these illustrative examples, and no biochar or similar removals, the LSR impact is minimal in this specific calculation. If the packaging (cardboard) was sourced from sustainably managed forests, this could represent a biogenic carbon removal, which would be accounted for.</w:t>
      </w:r>
    </w:p>
    <w:p>
      <w:pPr>
        <w:numPr>
          <w:ilvl w:val="0"/>
          <w:numId w:val="1012"/>
        </w:numPr>
        <w:pStyle w:val="Compact"/>
      </w:pPr>
      <w:r>
        <w:rPr>
          <w:bCs/>
          <w:b/>
        </w:rPr>
        <w:t xml:space="preserve">Illustrative LSR impact (e.g., from sustainable biogenic carbon in packaging):</w:t>
      </w:r>
      <w:r>
        <w:t xml:space="preserve"> </w:t>
      </w:r>
      <w:r>
        <w:t xml:space="preserve">-0.01 kg CO2e (representing a minor removal or neutral impact)</w:t>
      </w:r>
    </w:p>
    <w:p>
      <w:pPr>
        <w:pStyle w:val="FirstParagraph"/>
      </w:pPr>
      <w:r>
        <w:t xml:space="preserve">Considering the packaging material (cardboard, 0.05 kg) as biogenic, a neutral impact or minor removal could be considered if certified sustainably sourced.</w:t>
      </w:r>
    </w:p>
    <w:p>
      <w:pPr>
        <w:numPr>
          <w:ilvl w:val="0"/>
          <w:numId w:val="1013"/>
        </w:numPr>
        <w:pStyle w:val="Compact"/>
      </w:pPr>
      <w:r>
        <w:rPr>
          <w:bCs/>
          <w:b/>
        </w:rPr>
        <w:t xml:space="preserve">Scope 3 LSR Total:</w:t>
      </w:r>
      <w:r>
        <w:t xml:space="preserve"> </w:t>
      </w:r>
      <w:r>
        <w:rPr>
          <w:bCs/>
          <w:b/>
        </w:rPr>
        <w:t xml:space="preserve">-0.01 kg CO2e</w:t>
      </w:r>
      <w:r>
        <w:t xml:space="preserve"> </w:t>
      </w:r>
      <w:r>
        <w:t xml:space="preserve">(Illustrative negative value for biogenic uptake in sustainably sourced paper).</w:t>
      </w:r>
    </w:p>
    <w:bookmarkEnd w:id="39"/>
    <w:bookmarkEnd w:id="40"/>
    <w:bookmarkStart w:id="4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0.02</w:t>
            </w:r>
          </w:p>
        </w:tc>
      </w:tr>
      <w:tr>
        <w:tc>
          <w:tcPr/>
          <w:p>
            <w:pPr>
              <w:pStyle w:val="Compact"/>
              <w:jc w:val="left"/>
            </w:pPr>
            <w:r>
              <w:t xml:space="preserve">Scope 2 (Purchased Energy)</w:t>
            </w:r>
          </w:p>
        </w:tc>
        <w:tc>
          <w:tcPr/>
          <w:p>
            <w:pPr>
              <w:pStyle w:val="Compact"/>
              <w:jc w:val="left"/>
            </w:pPr>
            <w:r>
              <w:t xml:space="preserve">1.01</w:t>
            </w:r>
          </w:p>
        </w:tc>
      </w:tr>
      <w:tr>
        <w:tc>
          <w:tcPr/>
          <w:p>
            <w:pPr>
              <w:pStyle w:val="Compact"/>
              <w:jc w:val="left"/>
            </w:pPr>
            <w:r>
              <w:t xml:space="preserve">Scope 3 (Purchased Goods &amp; Services - Materials)</w:t>
            </w:r>
          </w:p>
        </w:tc>
        <w:tc>
          <w:tcPr/>
          <w:p>
            <w:pPr>
              <w:pStyle w:val="Compact"/>
              <w:jc w:val="left"/>
            </w:pPr>
            <w:r>
              <w:t xml:space="preserve">6.11</w:t>
            </w:r>
          </w:p>
        </w:tc>
      </w:tr>
      <w:tr>
        <w:tc>
          <w:tcPr/>
          <w:p>
            <w:pPr>
              <w:pStyle w:val="Compact"/>
              <w:jc w:val="left"/>
            </w:pPr>
            <w:r>
              <w:t xml:space="preserve">Scope 3 (Transportation &amp; Distribution - Upstream &amp; Downstream)</w:t>
            </w:r>
          </w:p>
        </w:tc>
        <w:tc>
          <w:tcPr/>
          <w:p>
            <w:pPr>
              <w:pStyle w:val="Compact"/>
              <w:jc w:val="left"/>
            </w:pPr>
            <w:r>
              <w:t xml:space="preserve">12.58</w:t>
            </w:r>
          </w:p>
        </w:tc>
      </w:tr>
      <w:tr>
        <w:tc>
          <w:tcPr/>
          <w:p>
            <w:pPr>
              <w:pStyle w:val="Compact"/>
              <w:jc w:val="left"/>
            </w:pPr>
            <w:r>
              <w:t xml:space="preserve">Scope 3 (Use of Sold Products)</w:t>
            </w:r>
          </w:p>
        </w:tc>
        <w:tc>
          <w:tcPr/>
          <w:p>
            <w:pPr>
              <w:pStyle w:val="Compact"/>
              <w:jc w:val="left"/>
            </w:pPr>
            <w:r>
              <w:t xml:space="preserve">20.00</w:t>
            </w:r>
          </w:p>
        </w:tc>
      </w:tr>
      <w:tr>
        <w:tc>
          <w:tcPr/>
          <w:p>
            <w:pPr>
              <w:pStyle w:val="Compact"/>
              <w:jc w:val="left"/>
            </w:pPr>
            <w:r>
              <w:t xml:space="preserve">Scope 3 (End-of-Life Treatment of Sold Products)</w:t>
            </w:r>
          </w:p>
        </w:tc>
        <w:tc>
          <w:tcPr/>
          <w:p>
            <w:pPr>
              <w:pStyle w:val="Compact"/>
              <w:jc w:val="left"/>
            </w:pPr>
            <w:r>
              <w:t xml:space="preserve">0.20</w:t>
            </w:r>
          </w:p>
        </w:tc>
      </w:tr>
      <w:tr>
        <w:tc>
          <w:tcPr/>
          <w:p>
            <w:pPr>
              <w:pStyle w:val="Compact"/>
              <w:jc w:val="left"/>
            </w:pPr>
            <w:r>
              <w:t xml:space="preserve">Scope 3 (LSR Impact - Illustrative)</w:t>
            </w:r>
          </w:p>
        </w:tc>
        <w:tc>
          <w:tcPr/>
          <w:p>
            <w:pPr>
              <w:pStyle w:val="Compact"/>
              <w:jc w:val="left"/>
            </w:pPr>
            <w:r>
              <w:t xml:space="preserve">-0.01</w:t>
            </w:r>
          </w:p>
        </w:tc>
      </w:tr>
      <w:tr>
        <w:tc>
          <w:tcPr/>
          <w:p>
            <w:pPr>
              <w:pStyle w:val="Compact"/>
              <w:jc w:val="left"/>
            </w:pPr>
            <w:r>
              <w:t xml:space="preserve">TOTAL PRODUCT CARBON FOOTPRINT</w:t>
            </w:r>
          </w:p>
        </w:tc>
        <w:tc>
          <w:tcPr/>
          <w:p>
            <w:pPr>
              <w:pStyle w:val="Compact"/>
              <w:jc w:val="left"/>
            </w:pPr>
            <w:r>
              <w:t xml:space="preserve">39.91</w:t>
            </w:r>
          </w:p>
        </w:tc>
      </w:tr>
    </w:tbl>
    <w:p>
      <w:pPr>
        <w:pStyle w:val="BodyText"/>
      </w:pPr>
      <w:r>
        <w:t xml:space="preserve">The total Product Carbon Footprint for one unit of dyeozvuwvn is approximately</w:t>
      </w:r>
      <w:r>
        <w:t xml:space="preserve"> </w:t>
      </w:r>
      <w:r>
        <w:rPr>
          <w:bCs/>
          <w:b/>
        </w:rPr>
        <w:t xml:space="preserve">39.91 kg CO2e</w:t>
      </w:r>
      <w:r>
        <w:t xml:space="preserv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this analysis, the primary emission hotspots for dyeozvuwvn are:</w:t>
      </w:r>
    </w:p>
    <w:p>
      <w:pPr>
        <w:numPr>
          <w:ilvl w:val="0"/>
          <w:numId w:val="1014"/>
        </w:numPr>
        <w:pStyle w:val="Compact"/>
      </w:pPr>
      <w:r>
        <w:rPr>
          <w:bCs/>
          <w:b/>
        </w:rPr>
        <w:t xml:space="preserve">Use Phase (50.1%):</w:t>
      </w:r>
      <w:r>
        <w:t xml:space="preserve"> </w:t>
      </w:r>
      <w:r>
        <w:t xml:space="preserve">The energy consumption during the product\'s 5-year lifespan is the single largest contributor to its carbon footprint, accounting for a significant portion of Scope 3 emissions.</w:t>
      </w:r>
    </w:p>
    <w:p>
      <w:pPr>
        <w:numPr>
          <w:ilvl w:val="0"/>
          <w:numId w:val="1014"/>
        </w:numPr>
        <w:pStyle w:val="Compact"/>
      </w:pPr>
      <w:r>
        <w:rPr>
          <w:bCs/>
          <w:b/>
        </w:rPr>
        <w:t xml:space="preserve">Transportation &amp; Distribution (31.5%):</w:t>
      </w:r>
      <w:r>
        <w:t xml:space="preserve"> </w:t>
      </w:r>
      <w:r>
        <w:t xml:space="preserve">Both inbound supply chain logistics and particularly last-mile delivery contribute substantially to Scope 3 emissions. The illustrative last-mile delivery factor significantly influenced this category.</w:t>
      </w:r>
    </w:p>
    <w:p>
      <w:pPr>
        <w:numPr>
          <w:ilvl w:val="0"/>
          <w:numId w:val="1014"/>
        </w:numPr>
        <w:pStyle w:val="Compact"/>
      </w:pPr>
      <w:r>
        <w:rPr>
          <w:bCs/>
          <w:b/>
        </w:rPr>
        <w:t xml:space="preserve">Purchased Goods &amp; Services (15.3%):</w:t>
      </w:r>
      <w:r>
        <w:t xml:space="preserve"> </w:t>
      </w:r>
      <w:r>
        <w:t xml:space="preserve">The embodied carbon in the materials, particularly the Integrated Circuit and Lithium-ion Battery, represents a notable impact within Scope 3.</w:t>
      </w:r>
    </w:p>
    <w:p>
      <w:pPr>
        <w:numPr>
          <w:ilvl w:val="0"/>
          <w:numId w:val="1014"/>
        </w:numPr>
        <w:pStyle w:val="Compact"/>
      </w:pPr>
      <w:r>
        <w:rPr>
          <w:bCs/>
          <w:b/>
        </w:rPr>
        <w:t xml:space="preserve">Production Energy (2.5%):</w:t>
      </w:r>
      <w:r>
        <w:t xml:space="preserve"> </w:t>
      </w:r>
      <w:r>
        <w:t xml:space="preserve">While mezsfzxdli utilizes 70% renewable energy, the remaining 30% from the Chinese grid still contributes to Scope 2 emissions.</w:t>
      </w:r>
    </w:p>
    <w:bookmarkEnd w:id="43"/>
    <w:bookmarkStart w:id="44" w:name="reliability-and-limitations"/>
    <w:p>
      <w:pPr>
        <w:pStyle w:val="Heading3"/>
      </w:pPr>
      <w:r>
        <w:t xml:space="preserve">Reliability and Limitations</w:t>
      </w:r>
    </w:p>
    <w:p>
      <w:pPr>
        <w:pStyle w:val="FirstParagraph"/>
      </w:pPr>
      <w:r>
        <w:t xml:space="preserve">The reliability of this PCF analysis is highly dependent on the accuracy and completeness of the input data. While specific parameters were provided, some values (e.g., transport mode, distances, energy intensity) were illustrative placeholders. The emission factors used are based on industry averages (e.g., Ecoinvent/DEFRA type factors for illustration) and global/regional grid mixes, which may vary. Future refinements would benefit from primary data collection for all supply chain components and actual energy mix specific to production facilities.</w:t>
      </w:r>
    </w:p>
    <w:p>
      <w:pPr>
        <w:pStyle w:val="BodyText"/>
      </w:pPr>
      <w:r>
        <w:t xml:space="preserve">The 95% Scope 3 coverage ensures a comprehensive view, though minor categories not explicitly calculated (e.g., business travel, employee commuting) are assumed to be negligible compared to the identified hotspots for this product.</w:t>
      </w:r>
    </w:p>
    <w:bookmarkEnd w:id="44"/>
    <w:bookmarkStart w:id="45" w:name="recommendations-for-reduction"/>
    <w:p>
      <w:pPr>
        <w:pStyle w:val="Heading3"/>
      </w:pPr>
      <w:r>
        <w:t xml:space="preserve">Recommendations for Reduction</w:t>
      </w:r>
    </w:p>
    <w:p>
      <w:pPr>
        <w:numPr>
          <w:ilvl w:val="0"/>
          <w:numId w:val="1015"/>
        </w:numPr>
        <w:pStyle w:val="Compact"/>
      </w:pPr>
      <w:r>
        <w:rPr>
          <w:bCs/>
          <w:b/>
        </w:rPr>
        <w:t xml:space="preserve">Optimize Use Phase:</w:t>
      </w:r>
      <w:r>
        <w:t xml:space="preserve"> </w:t>
      </w:r>
      <w:r>
        <w:t xml:space="preserve">Focus on improving product energy efficiency (wjqzhmejsd) and extending product lifespan (iitpnunixn) through durable design. Educate consumers on efficient usage.</w:t>
      </w:r>
    </w:p>
    <w:p>
      <w:pPr>
        <w:numPr>
          <w:ilvl w:val="0"/>
          <w:numId w:val="1015"/>
        </w:numPr>
        <w:pStyle w:val="Compact"/>
      </w:pPr>
      <w:r>
        <w:rPr>
          <w:bCs/>
          <w:b/>
        </w:rPr>
        <w:t xml:space="preserve">Supply Chain Optimization:</w:t>
      </w:r>
      <w:r>
        <w:t xml:space="preserve"> </w:t>
      </w:r>
      <w:r>
        <w:t xml:space="preserve">Investigate more efficient transport modes for jehunyqmtv distances (e.g., rail or sea where feasible) and explore localized sourcing to reduce transport distances. Optimize last-mile delivery routes.</w:t>
      </w:r>
    </w:p>
    <w:p>
      <w:pPr>
        <w:numPr>
          <w:ilvl w:val="0"/>
          <w:numId w:val="1015"/>
        </w:numPr>
        <w:pStyle w:val="Compact"/>
      </w:pPr>
      <w:r>
        <w:rPr>
          <w:bCs/>
          <w:b/>
        </w:rPr>
        <w:t xml:space="preserve">Material Innovations:</w:t>
      </w:r>
      <w:r>
        <w:t xml:space="preserve"> </w:t>
      </w:r>
      <w:r>
        <w:t xml:space="preserve">Explore lower-carbon alternative materials or design for dematerialization to reduce the impact from iqfqgkzo. Engage with suppliers to understand and reduce the embodied carbon of purchased goods.</w:t>
      </w:r>
    </w:p>
    <w:p>
      <w:pPr>
        <w:numPr>
          <w:ilvl w:val="0"/>
          <w:numId w:val="1015"/>
        </w:numPr>
        <w:pStyle w:val="Compact"/>
      </w:pPr>
      <w:r>
        <w:rPr>
          <w:bCs/>
          <w:b/>
        </w:rPr>
        <w:t xml:space="preserve">Increase Renewable Energy:</w:t>
      </w:r>
      <w:r>
        <w:t xml:space="preserve"> </w:t>
      </w:r>
      <w:r>
        <w:t xml:space="preserve">Further increase renewable energy usage (newnhzortk) at manufacturing sites to mitigate Scope 2 emissions.</w:t>
      </w:r>
    </w:p>
    <w:p>
      <w:pPr>
        <w:numPr>
          <w:ilvl w:val="0"/>
          <w:numId w:val="1015"/>
        </w:numPr>
        <w:pStyle w:val="Compact"/>
      </w:pPr>
      <w:r>
        <w:rPr>
          <w:bCs/>
          <w:b/>
        </w:rPr>
        <w:t xml:space="preserve">Enhance Circularity:</w:t>
      </w:r>
      <w:r>
        <w:t xml:space="preserve"> </w:t>
      </w:r>
      <w:r>
        <w:t xml:space="preserve">Leverage the "Active product take-back and refurbishment program" (gqhvkevfwwz) to its fullest potential, aiming for higher recyclability (phlvsoxwnu) and extending product and component lifecycles to reduce virgin material demand and EoL emissions.</w:t>
      </w:r>
    </w:p>
    <w:p>
      <w:pPr>
        <w:pStyle w:val="FirstParagraph"/>
      </w:pPr>
      <w:r>
        <w:t xml:space="preserve">This report serves as a foundational step for</w:t>
      </w:r>
      <w:r>
        <w:t xml:space="preserve"> </w:t>
      </w:r>
      <w:r>
        <w:rPr>
          <w:bCs/>
          <w:b/>
        </w:rPr>
        <w:t xml:space="preserve">mezsfzxdli</w:t>
      </w:r>
      <w:r>
        <w:t xml:space="preserve"> </w:t>
      </w:r>
      <w:r>
        <w:t xml:space="preserve">in understanding the environmental impact of</w:t>
      </w:r>
      <w:r>
        <w:t xml:space="preserve"> </w:t>
      </w:r>
      <w:r>
        <w:rPr>
          <w:bCs/>
          <w:b/>
        </w:rPr>
        <w:t xml:space="preserve">dyeozvuwvn</w:t>
      </w:r>
      <w:r>
        <w:t xml:space="preserve"> </w:t>
      </w:r>
      <w:r>
        <w:t xml:space="preserve">and guides future sustainability strategies aligned with global climate goals.</w:t>
      </w:r>
    </w:p>
    <w:p>
      <w:r>
        <w:pict>
          <v:rect style="width:0;height:1.5pt" o:hralign="center" o:hrstd="t" o:hr="t"/>
        </w:pict>
      </w:r>
    </w:p>
    <w:p>
      <w:pPr>
        <w:pStyle w:val="FirstParagraph"/>
      </w:pPr>
      <w:r>
        <w:t xml:space="preserve">Confidential - Internal Use Only | Generated by esgyujwdwd, Senior Sustainability Consultant</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dyeozvuwvn</dc:title>
  <dc:creator/>
  <dc:description>High-detail Product Carbon Footprint (PCF) analysis report for dyeozvuwvn, performed by mezsfzxdli under the GHG Protocol.</dc:description>
  <dc:language>en</dc:language>
  <cp:keywords/>
  <dcterms:created xsi:type="dcterms:W3CDTF">2026-07-15T09:28:59Z</dcterms:created>
  <dcterms:modified xsi:type="dcterms:W3CDTF">2026-07-15T09:28:59Z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