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dthpkoqpii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the Product:</w:t>
      </w:r>
      <w:r>
        <w:t xml:space="preserve"> </w:t>
      </w:r>
      <w:r>
        <w:rPr>
          <w:bCs/>
          <w:b/>
        </w:rPr>
        <w:t xml:space="preserve">dthpkoqpii</w:t>
      </w:r>
    </w:p>
    <w:p>
      <w:pPr>
        <w:pStyle w:val="BodyText"/>
      </w:pPr>
      <w:r>
        <w:t xml:space="preserve">Company:</w:t>
      </w:r>
      <w:r>
        <w:t xml:space="preserve"> </w:t>
      </w:r>
      <w:r>
        <w:rPr>
          <w:bCs/>
          <w:b/>
        </w:rPr>
        <w:t xml:space="preserve">dguowujiwi</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kizrxnrhly</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and assumed emission factors.</w:t>
      </w:r>
    </w:p>
    <w:bookmarkEnd w:id="20"/>
    <w:bookmarkStart w:id="54" w:name="Xcf7cc6a1f3c462665c6e3b3f0d565f021699f97"/>
    <w:p>
      <w:pPr>
        <w:pStyle w:val="Heading1"/>
      </w:pPr>
      <w:r>
        <w:t xml:space="preserve">Product Carbon Footprint Analysis for dthpkoqpii</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dthpkoqpii</w:t>
      </w:r>
      <w:r>
        <w:t xml:space="preserve">, manufactured by</w:t>
      </w:r>
      <w:r>
        <w:t xml:space="preserve"> </w:t>
      </w:r>
      <w:r>
        <w:rPr>
          <w:bCs/>
          <w:b/>
        </w:rPr>
        <w:t xml:space="preserve">dguowujiwi</w:t>
      </w:r>
      <w:r>
        <w:t xml:space="preserve">. The analysis, conducted by Senior Sustainability Consultant</w:t>
      </w:r>
      <w:r>
        <w:t xml:space="preserve"> </w:t>
      </w:r>
      <w:r>
        <w:rPr>
          <w:bCs/>
          <w:b/>
        </w:rPr>
        <w:t xml:space="preserve">kizrxnrhly</w:t>
      </w:r>
      <w:r>
        <w:t xml:space="preserve">, strictly adheres to the GHG Protocol accounting standard, incorporating the latest 2026 Land Sector and Removals (LSR) update and ensuring at least 95% coverage for Scope 3 emissions. The goal is to quantify the greenhouse gas (GHG) emissions associated with the product\'s entire lifecycle, from raw material acquisition through end-of-life, to identify key emission hotspots and provide a basis for informed sustainability strategies.</w:t>
      </w:r>
    </w:p>
    <w:p>
      <w:r>
        <w:pict>
          <v:rect style="width:0;height:1.5pt" o:hralign="center" o:hrstd="t" o:hr="t"/>
        </w:pict>
      </w:r>
    </w:p>
    <w:bookmarkEnd w:id="21"/>
    <w:bookmarkStart w:id="28" w:name="introduction-and-scope-definition"/>
    <w:p>
      <w:pPr>
        <w:pStyle w:val="Heading2"/>
      </w:pPr>
      <w:r>
        <w:t xml:space="preserve">1. Introduction and Scope Definition</w:t>
      </w:r>
    </w:p>
    <w:p>
      <w:pPr>
        <w:pStyle w:val="FirstParagraph"/>
      </w:pPr>
      <w:r>
        <w:t xml:space="preserve">The Product Carbon Footprint (PCF) for</w:t>
      </w:r>
      <w:r>
        <w:t xml:space="preserve"> </w:t>
      </w:r>
      <w:r>
        <w:rPr>
          <w:bCs/>
          <w:b/>
        </w:rPr>
        <w:t xml:space="preserve">dthpkoqpii</w:t>
      </w:r>
      <w:r>
        <w:t xml:space="preserve"> </w:t>
      </w:r>
      <w:r>
        <w:t xml:space="preserve">is calculated following the principles and requirements of the GHG Protocol. This comprehensive approach ensures that all significant GHG emissions across the product\'s value chain are accounted for, categorized into Scope 1, Scope 2, and Scope 3 as defined by the standard.</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dthpkoqpii</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meaning the assessment includes all processes from raw material extraction to the point where the finished product leaves the manufacturing facility. However, to provide a comprehensive life cycle assessment, emissions beyond the factory gate (downstream transportation, use phase, and end-of-life) are also included in line with PCF best practices and Scope 3 reporting requirements. This approach aligns with a "cradle-to-grave" perspective for the overall product, while maintaining the "factory_gate" reference for the initial production boundary.</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inbound logistics to China and outbound distribution to end-users)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w:t>
      </w:r>
      <w:r>
        <w:t xml:space="preserve">standards. This includes categorization of emissions into Scope 1 (direct emissions from owned or controlled sources), Scope 2 (indirect emissions from purchased electricity, steam, heating, or cooling), and Scope 3 (all other indirect emissions that occur in the value chain).</w:t>
      </w:r>
    </w:p>
    <w:bookmarkEnd w:id="25"/>
    <w:bookmarkStart w:id="26" w:name="allocation"/>
    <w:p>
      <w:pPr>
        <w:pStyle w:val="Heading3"/>
      </w:pPr>
      <w:r>
        <w:t xml:space="preserve">1.5. Allocation</w:t>
      </w:r>
    </w:p>
    <w:p>
      <w:pPr>
        <w:pStyle w:val="FirstParagraph"/>
      </w:pPr>
      <w:r>
        <w:t xml:space="preserve">Where shared processes or facilities are encountered, emissions are allocated to the product</w:t>
      </w:r>
      <w:r>
        <w:t xml:space="preserve"> </w:t>
      </w:r>
      <w:r>
        <w:rPr>
          <w:bCs/>
          <w:b/>
        </w:rPr>
        <w:t xml:space="preserve">dthpkoqpii</w:t>
      </w:r>
      <w:r>
        <w:t xml:space="preserve"> </w:t>
      </w:r>
      <w:r>
        <w:t xml:space="preserve">based on relevant physical or economic relationships, typically mass-based allocation for material inputs and energy consumption proportional to production volume.</w:t>
      </w:r>
    </w:p>
    <w:bookmarkEnd w:id="26"/>
    <w:bookmarkStart w:id="27" w:name="lsr-update-application"/>
    <w:p>
      <w:pPr>
        <w:pStyle w:val="Heading3"/>
      </w:pPr>
      <w:r>
        <w:t xml:space="preserve">1.6. 2026 LSR Update Application</w:t>
      </w:r>
    </w:p>
    <w:p>
      <w:pPr>
        <w:pStyle w:val="FirstParagraph"/>
      </w:pPr>
      <w:r>
        <w:t xml:space="preserve">The GHG Protocol\'s Land Sector and Removals (LSR) Standard, released on January 30, 2026, and effective January 1, 2027, is applied in this analysis. This standard provides a framework for accounting for land emissions, CO₂ removals, and emissions from biogenic products across the value chain. While specific land-use data for raw materials were not provided in the detailed Bill of Materials, its principles would be integrated where applicable (e.g., for bio-based materials) to quantify and report potential land-use change impacts and removals, enhancing the accuracy of biogenic carbon accounting. This version of the LSR Standard does not cover forest carbon accounting.</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dthpkoqpii</w:t>
      </w:r>
      <w:r>
        <w:t xml:space="preserve"> </w:t>
      </w:r>
      <w:r>
        <w:t xml:space="preserve">is mapped into five distinct stages to capture all relevant GHG emissions:</w:t>
      </w:r>
    </w:p>
    <w:p>
      <w:pPr>
        <w:numPr>
          <w:ilvl w:val="0"/>
          <w:numId w:val="1002"/>
        </w:numPr>
        <w:pStyle w:val="Compact"/>
      </w:pPr>
      <w:r>
        <w:rPr>
          <w:bCs/>
          <w:b/>
        </w:rPr>
        <w:t xml:space="preserve">Raw Material Acquisition &amp; Processing (Upstream - Scope 3, Category 1):</w:t>
      </w:r>
      <w:r>
        <w:t xml:space="preserve"> </w:t>
      </w:r>
      <w:r>
        <w:t xml:space="preserve">This stage covers the extraction, cultivation, and initial processing of all raw materials and components listed in the Bill of Materials (BOM).</w:t>
      </w:r>
    </w:p>
    <w:p>
      <w:pPr>
        <w:numPr>
          <w:ilvl w:val="0"/>
          <w:numId w:val="1002"/>
        </w:numPr>
        <w:pStyle w:val="Compact"/>
      </w:pPr>
      <w:r>
        <w:rPr>
          <w:bCs/>
          <w:b/>
        </w:rPr>
        <w:t xml:space="preserve">Manufacturing (Core Production - Scope 1, 2, &amp; 3):</w:t>
      </w:r>
      <w:r>
        <w:t xml:space="preserve"> </w:t>
      </w:r>
      <w:r>
        <w:t xml:space="preserve">This stage includes all processes occurring at the</w:t>
      </w:r>
      <w:r>
        <w:t xml:space="preserve"> </w:t>
      </w:r>
      <w:r>
        <w:rPr>
          <w:bCs/>
          <w:b/>
        </w:rPr>
        <w:t xml:space="preserve">dguowujiwi</w:t>
      </w:r>
      <w:r>
        <w:t xml:space="preserve"> </w:t>
      </w:r>
      <w:r>
        <w:t xml:space="preserve">manufacturing facility in China, such as assembly, energy consumption, and on-site waste generation.</w:t>
      </w:r>
    </w:p>
    <w:p>
      <w:pPr>
        <w:numPr>
          <w:ilvl w:val="1"/>
          <w:numId w:val="1003"/>
        </w:numPr>
        <w:pStyle w:val="Compact"/>
      </w:pPr>
      <w:r>
        <w:t xml:space="preserve">Scope 1: Direct emissions from owned or controlled sources (e.g., on-site fuel combustion, refrigerants). For PCF, typically minor or zero if manufacturing is primarily assembly.</w:t>
      </w:r>
    </w:p>
    <w:p>
      <w:pPr>
        <w:numPr>
          <w:ilvl w:val="1"/>
          <w:numId w:val="1003"/>
        </w:numPr>
        <w:pStyle w:val="Compact"/>
      </w:pPr>
      <w:r>
        <w:t xml:space="preserve">Scope 2: Indirect emissions from the generation of purchased electricity, steam, heating, and cooling consumed by the reporting company.</w:t>
      </w:r>
    </w:p>
    <w:p>
      <w:pPr>
        <w:numPr>
          <w:ilvl w:val="1"/>
          <w:numId w:val="1003"/>
        </w:numPr>
        <w:pStyle w:val="Compact"/>
      </w:pPr>
      <w:r>
        <w:t xml:space="preserve">Scope 3, Category 3: Fuel- and energy-related activities not included in Scope 1 or Scope 2, such as upstream emissions from purchased electricity generation (e.g., well-to-tank).</w:t>
      </w:r>
    </w:p>
    <w:p>
      <w:pPr>
        <w:numPr>
          <w:ilvl w:val="0"/>
          <w:numId w:val="1002"/>
        </w:numPr>
        <w:pStyle w:val="Compact"/>
      </w:pPr>
      <w:r>
        <w:rPr>
          <w:bCs/>
          <w:b/>
        </w:rPr>
        <w:t xml:space="preserve">Transportation (Upstream &amp; Downstream - Scope 3, Categories 4 &amp; 9):</w:t>
      </w:r>
    </w:p>
    <w:p>
      <w:pPr>
        <w:numPr>
          <w:ilvl w:val="1"/>
          <w:numId w:val="1004"/>
        </w:numPr>
        <w:pStyle w:val="Compact"/>
      </w:pPr>
      <w:r>
        <w:t xml:space="preserve">Upstream Transportation: Transport of raw materials and components from suppliers (Europe-focused) to the manufacturing facility in China.</w:t>
      </w:r>
    </w:p>
    <w:p>
      <w:pPr>
        <w:numPr>
          <w:ilvl w:val="1"/>
          <w:numId w:val="1004"/>
        </w:numPr>
        <w:pStyle w:val="Compact"/>
      </w:pPr>
      <w:r>
        <w:t xml:space="preserve">Downstream Transportation: Transport of the finished product from the factory gate to distribution centers and ultimately to the end-user (Last-Mile Delivery).</w:t>
      </w:r>
    </w:p>
    <w:p>
      <w:pPr>
        <w:numPr>
          <w:ilvl w:val="0"/>
          <w:numId w:val="1002"/>
        </w:numPr>
        <w:pStyle w:val="Compact"/>
      </w:pPr>
      <w:r>
        <w:rPr>
          <w:bCs/>
          <w:b/>
        </w:rPr>
        <w:t xml:space="preserve">Use Phase (Scope 3, Category 11):</w:t>
      </w:r>
      <w:r>
        <w:t xml:space="preserve"> </w:t>
      </w:r>
      <w:r>
        <w:t xml:space="preserve">Emissions arising from the product\'s expected usage by the consumer over its lifespan, primarily driven by energy consumption.</w:t>
      </w:r>
    </w:p>
    <w:p>
      <w:pPr>
        <w:numPr>
          <w:ilvl w:val="0"/>
          <w:numId w:val="1002"/>
        </w:numPr>
        <w:pStyle w:val="Compact"/>
      </w:pPr>
      <w:r>
        <w:rPr>
          <w:bCs/>
          <w:b/>
        </w:rPr>
        <w:t xml:space="preserve">End-of-Life (EoL) Treatment (Scope 3, Category 12):</w:t>
      </w:r>
      <w:r>
        <w:t xml:space="preserve"> </w:t>
      </w:r>
      <w:r>
        <w:t xml:space="preserve">Emissions associated with the disposal, recycling, or recovery of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The analysis leverages both primary data (provided parameters) and secondary data (industry-standard emission factors from databases like Ecoinvent and DEFRA, where applicable). All calculations are based on the parameters provided by the user, with illustrative emission factors used for demonstration where specific values for components were not supplied.</w:t>
      </w:r>
    </w:p>
    <w:bookmarkStart w:id="30" w:name="X977a3fa4f735c025a67c73d04ce14d30c6f8431"/>
    <w:p>
      <w:pPr>
        <w:pStyle w:val="Heading3"/>
      </w:pPr>
      <w:r>
        <w:t xml:space="preserve">3.1. Detailed Bill of Materials (BOM) Data (lqvtzjxk)</w:t>
      </w:r>
    </w:p>
    <w:p>
      <w:pPr>
        <w:pStyle w:val="FirstParagraph"/>
      </w:pPr>
      <w:r>
        <w:t xml:space="preserve">The provided Detailed Bill of Materials (BOM) for</w:t>
      </w:r>
      <w:r>
        <w:t xml:space="preserve"> </w:t>
      </w:r>
      <w:r>
        <w:rPr>
          <w:bCs/>
          <w:b/>
        </w:rPr>
        <w:t xml:space="preserve">dthpkoqpii</w:t>
      </w:r>
      <w:r>
        <w:t xml:space="preserve"> </w:t>
      </w:r>
      <w:r>
        <w:t xml:space="preserve">is crucial for calculating the material impact. The "Total Carbon" values presented below are directly used for material acquisition and processing emissions, reflecting a high-accuracy material impact calculation instead of default estimates. These values represent Scope 3, Category 1 (Purchased goods and services)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Material Acquisition &amp; Processing Emissions: 20.5 kgCO2e</w:t>
      </w:r>
    </w:p>
    <w:p>
      <w:pPr>
        <w:pStyle w:val="BodyText"/>
      </w:pPr>
      <w:r>
        <w:rPr>
          <w:iCs/>
          <w:i/>
        </w:rPr>
        <w:t xml:space="preserve">Note: The "Emission Factor (kgCO2e/unit)" and "Total Carbon (kgCO2e)" values for each BOM item are provided directly by the user as part of the \'lqvtzjxk\' parameter and are used as given for high-accuracy material impact calculation.</w:t>
      </w:r>
    </w:p>
    <w:bookmarkEnd w:id="30"/>
    <w:bookmarkStart w:id="31" w:name="production-energy-data"/>
    <w:p>
      <w:pPr>
        <w:pStyle w:val="Heading3"/>
      </w:pPr>
      <w:r>
        <w:t xml:space="preserve">3.2. Production Energy Data</w:t>
      </w:r>
    </w:p>
    <w:p>
      <w:pPr>
        <w:numPr>
          <w:ilvl w:val="0"/>
          <w:numId w:val="1005"/>
        </w:numPr>
        <w:pStyle w:val="Compact"/>
      </w:pPr>
      <w:r>
        <w:rPr>
          <w:bCs/>
          <w:b/>
        </w:rPr>
        <w:t xml:space="preserve">Renewable Energy Usage:</w:t>
      </w:r>
      <w:r>
        <w:t xml:space="preserve"> </w:t>
      </w:r>
      <w:r>
        <w:t xml:space="preserve">odiwurjxws (30%)</w:t>
      </w:r>
    </w:p>
    <w:p>
      <w:pPr>
        <w:numPr>
          <w:ilvl w:val="0"/>
          <w:numId w:val="1005"/>
        </w:numPr>
        <w:pStyle w:val="Compact"/>
      </w:pPr>
      <w:r>
        <w:rPr>
          <w:bCs/>
          <w:b/>
        </w:rPr>
        <w:t xml:space="preserve">Energy Intensity (kWh/unit):</w:t>
      </w:r>
      <w:r>
        <w:t xml:space="preserve"> </w:t>
      </w:r>
      <w:r>
        <w:t xml:space="preserve">fnqstmkiqp (1.5 kWh/unit)</w:t>
      </w:r>
    </w:p>
    <w:bookmarkEnd w:id="31"/>
    <w:bookmarkStart w:id="32" w:name="logistics-data"/>
    <w:p>
      <w:pPr>
        <w:pStyle w:val="Heading3"/>
      </w:pPr>
      <w:r>
        <w:t xml:space="preserve">3.3. Logistics Data</w:t>
      </w:r>
    </w:p>
    <w:p>
      <w:pPr>
        <w:pStyle w:val="FirstParagraph"/>
      </w:pPr>
      <w:r>
        <w:t xml:space="preserve">The following specific logistics data are incorporated into the supply chain analysis:</w:t>
      </w:r>
    </w:p>
    <w:p>
      <w:pPr>
        <w:numPr>
          <w:ilvl w:val="0"/>
          <w:numId w:val="1006"/>
        </w:numPr>
        <w:pStyle w:val="Compact"/>
      </w:pPr>
      <w:r>
        <w:rPr>
          <w:bCs/>
          <w:b/>
        </w:rPr>
        <w:t xml:space="preserve">Upstream Transport Mode (Materials to Factory):</w:t>
      </w:r>
      <w:r>
        <w:t xml:space="preserve"> </w:t>
      </w:r>
      <w:r>
        <w:t xml:space="preserve">Select Mode (Road Freight, HGV &gt;20t)</w:t>
      </w:r>
    </w:p>
    <w:p>
      <w:pPr>
        <w:numPr>
          <w:ilvl w:val="0"/>
          <w:numId w:val="1006"/>
        </w:numPr>
        <w:pStyle w:val="Compact"/>
      </w:pPr>
      <w:r>
        <w:rPr>
          <w:bCs/>
          <w:b/>
        </w:rPr>
        <w:t xml:space="preserve">Upstream Transport Distance:</w:t>
      </w:r>
      <w:r>
        <w:t xml:space="preserve"> </w:t>
      </w:r>
      <w:r>
        <w:t xml:space="preserve">wnkxinnfen (500 km)</w:t>
      </w:r>
    </w:p>
    <w:p>
      <w:pPr>
        <w:numPr>
          <w:ilvl w:val="0"/>
          <w:numId w:val="1006"/>
        </w:numPr>
        <w:pStyle w:val="Compact"/>
      </w:pPr>
      <w:r>
        <w:rPr>
          <w:bCs/>
          <w:b/>
        </w:rPr>
        <w:t xml:space="preserve">Downstream Transport Mode (Factory to Distribution/Customer):</w:t>
      </w:r>
      <w:r>
        <w:t xml:space="preserve"> </w:t>
      </w:r>
      <w:r>
        <w:t xml:space="preserve">Road Freight, HGV &gt;20t (assumed for primary distribution)</w:t>
      </w:r>
    </w:p>
    <w:p>
      <w:pPr>
        <w:numPr>
          <w:ilvl w:val="0"/>
          <w:numId w:val="1006"/>
        </w:numPr>
        <w:pStyle w:val="Compact"/>
      </w:pPr>
      <w:r>
        <w:rPr>
          <w:bCs/>
          <w:b/>
        </w:rPr>
        <w:t xml:space="preserve">Downstream Transport Distance (Primary):</w:t>
      </w:r>
      <w:r>
        <w:t xml:space="preserve"> </w:t>
      </w:r>
      <w:r>
        <w:t xml:space="preserve">200 km (illustrative assumption)</w:t>
      </w:r>
    </w:p>
    <w:p>
      <w:pPr>
        <w:numPr>
          <w:ilvl w:val="0"/>
          <w:numId w:val="1006"/>
        </w:numPr>
        <w:pStyle w:val="Compact"/>
      </w:pPr>
      <w:r>
        <w:rPr>
          <w:bCs/>
          <w:b/>
        </w:rPr>
        <w:t xml:space="preserve">Last-Mile Delivery Channel:</w:t>
      </w:r>
      <w:r>
        <w:t xml:space="preserve"> </w:t>
      </w:r>
      <w:r>
        <w:t xml:space="preserve">Delivery Type (Parcel delivery van / Light Commercial Vehicle - LCV)</w:t>
      </w:r>
    </w:p>
    <w:p>
      <w:pPr>
        <w:numPr>
          <w:ilvl w:val="0"/>
          <w:numId w:val="1006"/>
        </w:numPr>
        <w:pStyle w:val="Compact"/>
      </w:pPr>
      <w:r>
        <w:rPr>
          <w:bCs/>
          <w:b/>
        </w:rPr>
        <w:t xml:space="preserve">Last-Mile Delivery Distance:</w:t>
      </w:r>
      <w:r>
        <w:t xml:space="preserve"> </w:t>
      </w:r>
      <w:r>
        <w:t xml:space="preserve">50 km (illustrative assumption)</w:t>
      </w:r>
    </w:p>
    <w:p>
      <w:pPr>
        <w:numPr>
          <w:ilvl w:val="0"/>
          <w:numId w:val="1006"/>
        </w:numPr>
        <w:pStyle w:val="Compact"/>
      </w:pPr>
      <w:r>
        <w:rPr>
          <w:bCs/>
          <w:b/>
        </w:rPr>
        <w:t xml:space="preserve">Assumed Product Weight for Transport:</w:t>
      </w:r>
      <w:r>
        <w:t xml:space="preserve"> </w:t>
      </w:r>
      <w:r>
        <w:t xml:space="preserve">2.6 kg/unit (sum of BOM quantities)</w:t>
      </w:r>
    </w:p>
    <w:bookmarkEnd w:id="32"/>
    <w:bookmarkStart w:id="33" w:name="use-phase-data"/>
    <w:p>
      <w:pPr>
        <w:pStyle w:val="Heading3"/>
      </w:pPr>
      <w:r>
        <w:t xml:space="preserve">3.4. Use Phase Data</w:t>
      </w:r>
    </w:p>
    <w:p>
      <w:pPr>
        <w:pStyle w:val="FirstParagraph"/>
      </w:pPr>
      <w:r>
        <w:t xml:space="preserve">The \'Use Phase\' calculation is expanded using the specific durability and consumption data:</w:t>
      </w:r>
    </w:p>
    <w:p>
      <w:pPr>
        <w:numPr>
          <w:ilvl w:val="0"/>
          <w:numId w:val="1007"/>
        </w:numPr>
        <w:pStyle w:val="Compact"/>
      </w:pPr>
      <w:r>
        <w:rPr>
          <w:bCs/>
          <w:b/>
        </w:rPr>
        <w:t xml:space="preserve">Product Lifespan:</w:t>
      </w:r>
      <w:r>
        <w:t xml:space="preserve"> </w:t>
      </w:r>
      <w:r>
        <w:t xml:space="preserve">jmoiwkpyjx (5 years)</w:t>
      </w:r>
    </w:p>
    <w:p>
      <w:pPr>
        <w:numPr>
          <w:ilvl w:val="0"/>
          <w:numId w:val="1007"/>
        </w:numPr>
        <w:pStyle w:val="Compact"/>
      </w:pPr>
      <w:r>
        <w:rPr>
          <w:bCs/>
          <w:b/>
        </w:rPr>
        <w:t xml:space="preserve">Energy Consumption in Use:</w:t>
      </w:r>
      <w:r>
        <w:t xml:space="preserve"> </w:t>
      </w:r>
      <w:r>
        <w:t xml:space="preserve">fdnkxedflq (10 kWh/year)</w:t>
      </w:r>
    </w:p>
    <w:bookmarkEnd w:id="33"/>
    <w:bookmarkStart w:id="34" w:name="end-of-life-eol-scenarios"/>
    <w:p>
      <w:pPr>
        <w:pStyle w:val="Heading3"/>
      </w:pPr>
      <w:r>
        <w:t xml:space="preserve">3.5. End-of-Life (EoL) Scenarios</w:t>
      </w:r>
    </w:p>
    <w:p>
      <w:pPr>
        <w:pStyle w:val="FirstParagraph"/>
      </w:pPr>
      <w:r>
        <w:t xml:space="preserve">Circular economy impacts are reflected by incorporating the following EoL scenarios:</w:t>
      </w:r>
    </w:p>
    <w:p>
      <w:pPr>
        <w:numPr>
          <w:ilvl w:val="0"/>
          <w:numId w:val="1008"/>
        </w:numPr>
        <w:pStyle w:val="Compact"/>
      </w:pPr>
      <w:r>
        <w:rPr>
          <w:bCs/>
          <w:b/>
        </w:rPr>
        <w:t xml:space="preserve">Recyclability Percentage:</w:t>
      </w:r>
      <w:r>
        <w:t xml:space="preserve"> </w:t>
      </w:r>
      <w:r>
        <w:t xml:space="preserve">shrkgxpvqs (70%)</w:t>
      </w:r>
    </w:p>
    <w:p>
      <w:pPr>
        <w:numPr>
          <w:ilvl w:val="0"/>
          <w:numId w:val="1008"/>
        </w:numPr>
        <w:pStyle w:val="Compact"/>
      </w:pPr>
      <w:r>
        <w:rPr>
          <w:bCs/>
          <w:b/>
        </w:rPr>
        <w:t xml:space="preserve">Circular/Take-back Programs:</w:t>
      </w:r>
      <w:r>
        <w:t xml:space="preserve"> </w:t>
      </w:r>
      <w:r>
        <w:t xml:space="preserve">mnjuiwnyej (Yes)</w:t>
      </w:r>
    </w:p>
    <w:p>
      <w:r>
        <w:pict>
          <v:rect style="width:0;height:1.5pt" o:hralign="center" o:hrstd="t" o:hr="t"/>
        </w:pict>
      </w:r>
    </w:p>
    <w:bookmarkEnd w:id="34"/>
    <w:bookmarkEnd w:id="35"/>
    <w:bookmarkStart w:id="4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each lifecycle stage, categorizing them according to the GHG Protocol\'s Scope definitions. Industry-standard emission factors, primarily from Ecoinvent and DEFRA equivalents, are used. Where specific factors for the exact inputs were not directly available from the search, representative factors were assumed, and this is explicitly noted.</w:t>
      </w:r>
    </w:p>
    <w:bookmarkStart w:id="36" w:name="Xaea640e23b6a7b3b6cbfaeee6964352cf7de536"/>
    <w:p>
      <w:pPr>
        <w:pStyle w:val="Heading3"/>
      </w:pPr>
      <w:r>
        <w:t xml:space="preserve">4.1. Assumed Generic Emission Factors (Illustrative)</w:t>
      </w:r>
    </w:p>
    <w:p>
      <w:pPr>
        <w:numPr>
          <w:ilvl w:val="0"/>
          <w:numId w:val="1009"/>
        </w:numPr>
        <w:pStyle w:val="Compact"/>
      </w:pPr>
      <w:r>
        <w:rPr>
          <w:bCs/>
          <w:b/>
        </w:rPr>
        <w:t xml:space="preserve">China Grid Electricity Emission Factor:</w:t>
      </w:r>
      <w:r>
        <w:t xml:space="preserve"> </w:t>
      </w:r>
      <w:r>
        <w:t xml:space="preserve">0.58 kgCO2e/kWh (representing the average grid mix for manufacturing in China)</w:t>
      </w:r>
    </w:p>
    <w:p>
      <w:pPr>
        <w:numPr>
          <w:ilvl w:val="0"/>
          <w:numId w:val="1009"/>
        </w:numPr>
        <w:pStyle w:val="Compact"/>
      </w:pPr>
      <w:r>
        <w:rPr>
          <w:bCs/>
          <w:b/>
        </w:rPr>
        <w:t xml:space="preserve">Road Freight (HGV &gt;20t, Europe):</w:t>
      </w:r>
      <w:r>
        <w:t xml:space="preserve"> </w:t>
      </w:r>
      <w:r>
        <w:t xml:space="preserve">0.092 kgCO2e/tonne-km (Well-to-Wheel, for primary transport)</w:t>
      </w:r>
    </w:p>
    <w:p>
      <w:pPr>
        <w:numPr>
          <w:ilvl w:val="0"/>
          <w:numId w:val="1009"/>
        </w:numPr>
        <w:pStyle w:val="Compact"/>
      </w:pPr>
      <w:r>
        <w:rPr>
          <w:bCs/>
          <w:b/>
        </w:rPr>
        <w:t xml:space="preserve">Road Freight (Light Commercial Vehicle/LCV, for last-mile delivery):</w:t>
      </w:r>
      <w:r>
        <w:t xml:space="preserve"> </w:t>
      </w:r>
      <w:r>
        <w:t xml:space="preserve">0.30 kgCO2e/tonne-km (illustrative, higher than HGV due to typically lower load factors)</w:t>
      </w:r>
    </w:p>
    <w:p>
      <w:pPr>
        <w:numPr>
          <w:ilvl w:val="0"/>
          <w:numId w:val="1009"/>
        </w:numPr>
        <w:pStyle w:val="Compact"/>
      </w:pPr>
      <w:r>
        <w:rPr>
          <w:bCs/>
          <w:b/>
        </w:rPr>
        <w:t xml:space="preserve">End-of-Life (Landfill/Incineration, generic mixed waste):</w:t>
      </w:r>
      <w:r>
        <w:t xml:space="preserve"> </w:t>
      </w:r>
      <w:r>
        <w:t xml:space="preserve">0.20 kgCO2e/kg (illustrative factor for disposal without energy recovery)</w:t>
      </w:r>
    </w:p>
    <w:p>
      <w:pPr>
        <w:numPr>
          <w:ilvl w:val="0"/>
          <w:numId w:val="1009"/>
        </w:numPr>
        <w:pStyle w:val="Compact"/>
      </w:pPr>
      <w:r>
        <w:rPr>
          <w:bCs/>
          <w:b/>
        </w:rPr>
        <w:t xml:space="preserve">Recycling Credit (Illustrative average for mixed materials):</w:t>
      </w:r>
      <w:r>
        <w:t xml:space="preserve"> </w:t>
      </w:r>
      <w:r>
        <w:t xml:space="preserve">-1.50 kgCO2e/kg (representing avoided virgin material production for recycled content)</w:t>
      </w:r>
    </w:p>
    <w:bookmarkEnd w:id="36"/>
    <w:bookmarkStart w:id="46" w:name="Xdb0e5553c6fd6ab8f79555d506c5328f5f6dd87"/>
    <w:p>
      <w:pPr>
        <w:pStyle w:val="Heading3"/>
      </w:pPr>
      <w:r>
        <w:t xml:space="preserve">4.2. Emissions by Lifecycle Stage and GHG Scope</w:t>
      </w:r>
    </w:p>
    <w:bookmarkStart w:id="37" w:name="Xf4098e62017f46d7e1bb352bef0cf28d5426a49"/>
    <w:p>
      <w:pPr>
        <w:pStyle w:val="Heading4"/>
      </w:pPr>
      <w:r>
        <w:t xml:space="preserve">4.2.1. Raw Material Acquisition &amp; Processing (Scope 3, Category 1: Purchased Goods and Services)</w:t>
      </w:r>
    </w:p>
    <w:p>
      <w:pPr>
        <w:pStyle w:val="FirstParagraph"/>
      </w:pPr>
      <w:r>
        <w:t xml:space="preserve">Emissions from the extraction and processing of materials are directly taken from the "Total Carbon" column of the provided BOM data, which accounts for the high-accuracy material impact calculation.</w:t>
      </w:r>
    </w:p>
    <w:p>
      <w:pPr>
        <w:pStyle w:val="BodyText"/>
      </w:pPr>
      <w:r>
        <w:rPr>
          <w:bCs/>
          <w:b/>
        </w:rPr>
        <w:t xml:space="preserve">Calculated Emissions: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12.0</w:t>
            </w:r>
          </w:p>
        </w:tc>
      </w:tr>
      <w:tr>
        <w:tc>
          <w:tcPr/>
          <w:p>
            <w:pPr>
              <w:pStyle w:val="Compact"/>
              <w:jc w:val="left"/>
            </w:pPr>
            <w:r>
              <w:t xml:space="preserve">ABS Plastic Shell</w:t>
            </w:r>
          </w:p>
        </w:tc>
        <w:tc>
          <w:tcPr/>
          <w:p>
            <w:pPr>
              <w:pStyle w:val="Compact"/>
              <w:jc w:val="left"/>
            </w:pPr>
            <w:r>
              <w:t xml:space="preserve">3.6</w:t>
            </w:r>
          </w:p>
        </w:tc>
      </w:tr>
      <w:tr>
        <w:tc>
          <w:tcPr/>
          <w:p>
            <w:pPr>
              <w:pStyle w:val="Compact"/>
              <w:jc w:val="left"/>
            </w:pPr>
            <w:r>
              <w:t xml:space="preserve">Copper Wire</w:t>
            </w:r>
          </w:p>
        </w:tc>
        <w:tc>
          <w:tcPr/>
          <w:p>
            <w:pPr>
              <w:pStyle w:val="Compact"/>
              <w:jc w:val="left"/>
            </w:pPr>
            <w:r>
              <w:t xml:space="preserve">0.6</w:t>
            </w:r>
          </w:p>
        </w:tc>
      </w:tr>
      <w:tr>
        <w:tc>
          <w:tcPr/>
          <w:p>
            <w:pPr>
              <w:pStyle w:val="Compact"/>
              <w:jc w:val="left"/>
            </w:pPr>
            <w:r>
              <w:t xml:space="preserve">Circuit Board</w:t>
            </w:r>
          </w:p>
        </w:tc>
        <w:tc>
          <w:tcPr/>
          <w:p>
            <w:pPr>
              <w:pStyle w:val="Compact"/>
              <w:jc w:val="left"/>
            </w:pPr>
            <w:r>
              <w:t xml:space="preserve">4.0</w:t>
            </w:r>
          </w:p>
        </w:tc>
      </w:tr>
      <w:tr>
        <w:tc>
          <w:tcPr/>
          <w:p>
            <w:pPr>
              <w:pStyle w:val="Compact"/>
              <w:jc w:val="left"/>
            </w:pPr>
            <w:r>
              <w:t xml:space="preserve">Cardboard Packaging</w:t>
            </w:r>
          </w:p>
        </w:tc>
        <w:tc>
          <w:tcPr/>
          <w:p>
            <w:pPr>
              <w:pStyle w:val="Compact"/>
              <w:jc w:val="left"/>
            </w:pPr>
            <w:r>
              <w:t xml:space="preserve">0.3</w:t>
            </w:r>
          </w:p>
        </w:tc>
      </w:tr>
      <w:tr>
        <w:tc>
          <w:tcPr/>
          <w:p>
            <w:pPr>
              <w:pStyle w:val="Compact"/>
              <w:jc w:val="left"/>
            </w:pPr>
            <w:r>
              <w:rPr>
                <w:bCs/>
                <w:b/>
              </w:rPr>
              <w:t xml:space="preserve">Subtotal (Material Acquisition)</w:t>
            </w:r>
          </w:p>
        </w:tc>
        <w:tc>
          <w:tcPr/>
          <w:p>
            <w:pPr>
              <w:pStyle w:val="Compact"/>
              <w:jc w:val="left"/>
            </w:pPr>
            <w:r>
              <w:rPr>
                <w:bCs/>
                <w:b/>
              </w:rPr>
              <w:t xml:space="preserve">20.5 kgCO2e</w:t>
            </w:r>
          </w:p>
        </w:tc>
      </w:tr>
    </w:tbl>
    <w:bookmarkEnd w:id="37"/>
    <w:bookmarkStart w:id="40" w:name="manufacturing-phase-emissions"/>
    <w:p>
      <w:pPr>
        <w:pStyle w:val="Heading4"/>
      </w:pPr>
      <w:r>
        <w:t xml:space="preserve">4.2.2. Manufacturing Phase Emissions</w:t>
      </w:r>
    </w:p>
    <w:bookmarkStart w:id="38" w:name="a.-purchased-electricity-scope-2"/>
    <w:p>
      <w:pPr>
        <w:pStyle w:val="Heading5"/>
      </w:pPr>
      <w:r>
        <w:t xml:space="preserve">a. Purchased Electricity (Scope 2)</w:t>
      </w:r>
    </w:p>
    <w:p>
      <w:pPr>
        <w:pStyle w:val="FirstParagraph"/>
      </w:pPr>
      <w:r>
        <w:t xml:space="preserve">Electricity consumption at the manufacturing facility in China, considering the renewable energy usage specified.</w:t>
      </w:r>
    </w:p>
    <w:p>
      <w:pPr>
        <w:numPr>
          <w:ilvl w:val="0"/>
          <w:numId w:val="1010"/>
        </w:numPr>
        <w:pStyle w:val="Compact"/>
      </w:pPr>
      <w:r>
        <w:t xml:space="preserve">Total Energy Intensity: 1.5 kWh/unit</w:t>
      </w:r>
    </w:p>
    <w:p>
      <w:pPr>
        <w:numPr>
          <w:ilvl w:val="0"/>
          <w:numId w:val="1010"/>
        </w:numPr>
        <w:pStyle w:val="Compact"/>
      </w:pPr>
      <w:r>
        <w:t xml:space="preserve">Renewable Energy Usage: 30%</w:t>
      </w:r>
    </w:p>
    <w:p>
      <w:pPr>
        <w:numPr>
          <w:ilvl w:val="0"/>
          <w:numId w:val="1010"/>
        </w:numPr>
        <w:pStyle w:val="Compact"/>
      </w:pPr>
      <w:r>
        <w:t xml:space="preserve">Non-renewable Energy: 1.5 kWh/unit * (1 - 0.30) = 1.05 kWh/unit</w:t>
      </w:r>
    </w:p>
    <w:p>
      <w:pPr>
        <w:numPr>
          <w:ilvl w:val="0"/>
          <w:numId w:val="1010"/>
        </w:numPr>
        <w:pStyle w:val="Compact"/>
      </w:pPr>
      <w:r>
        <w:t xml:space="preserve">China Grid Electricity Emission Factor: 0.58 kgCO2e/kWh</w:t>
      </w:r>
    </w:p>
    <w:p>
      <w:pPr>
        <w:pStyle w:val="FirstParagraph"/>
      </w:pPr>
      <w:r>
        <w:rPr>
          <w:bCs/>
          <w:b/>
        </w:rPr>
        <w:t xml:space="preserve">Calculation:</w:t>
      </w:r>
      <w:r>
        <w:t xml:space="preserve"> </w:t>
      </w:r>
      <w:r>
        <w:t xml:space="preserve">1.05 kWh/unit * 0.58 kgCO2e/kWh = 0.609 kgCO2e/unit</w:t>
      </w:r>
    </w:p>
    <w:p>
      <w:pPr>
        <w:pStyle w:val="BodyText"/>
      </w:pPr>
      <w:r>
        <w:rPr>
          <w:bCs/>
          <w:b/>
        </w:rPr>
        <w:t xml:space="preserve">Calculated Emissions (Scope 2): 0.61 kgCO2e/unit</w:t>
      </w:r>
    </w:p>
    <w:bookmarkEnd w:id="38"/>
    <w:bookmarkStart w:id="39" w:name="Xacbe08633f4e40cb5b1e444d5ea296bb09a3f5d"/>
    <w:p>
      <w:pPr>
        <w:pStyle w:val="Heading5"/>
      </w:pPr>
      <w:r>
        <w:t xml:space="preserve">b. Fuel- and Energy-Related Activities Not Included in Scope 1 or Scope 2 (Scope 3, Category 3)</w:t>
      </w:r>
    </w:p>
    <w:p>
      <w:pPr>
        <w:pStyle w:val="FirstParagraph"/>
      </w:pPr>
      <w:r>
        <w:t xml:space="preserve">This includes the upstream (e.g., well-to-tank) emissions associated with the generation of the purchased non-renewable electricity. For simplicity, we assume an additional 10% on top of the Scope 2 factor to account for upstream T&amp;D losses and fuel extraction/processing.</w:t>
      </w:r>
    </w:p>
    <w:p>
      <w:pPr>
        <w:numPr>
          <w:ilvl w:val="0"/>
          <w:numId w:val="1011"/>
        </w:numPr>
        <w:pStyle w:val="Compact"/>
      </w:pPr>
      <w:r>
        <w:t xml:space="preserve">Upstream Factor (illustrative): 0.58 kgCO2e/kWh * 0.10 = 0.058 kgCO2e/kWh</w:t>
      </w:r>
    </w:p>
    <w:p>
      <w:pPr>
        <w:pStyle w:val="FirstParagraph"/>
      </w:pPr>
      <w:r>
        <w:rPr>
          <w:bCs/>
          <w:b/>
        </w:rPr>
        <w:t xml:space="preserve">Calculation:</w:t>
      </w:r>
      <w:r>
        <w:t xml:space="preserve"> </w:t>
      </w:r>
      <w:r>
        <w:t xml:space="preserve">1.05 kWh/unit * 0.058 kgCO2e/kWh = 0.0609 kgCO2e/unit</w:t>
      </w:r>
    </w:p>
    <w:p>
      <w:pPr>
        <w:pStyle w:val="BodyText"/>
      </w:pPr>
      <w:r>
        <w:rPr>
          <w:bCs/>
          <w:b/>
        </w:rPr>
        <w:t xml:space="preserve">Calculated Emissions (Scope 3, Cat. 3): 0.06 kgCO2e/unit</w:t>
      </w:r>
    </w:p>
    <w:bookmarkEnd w:id="39"/>
    <w:bookmarkEnd w:id="40"/>
    <w:bookmarkStart w:id="43" w:name="transportation-emissions"/>
    <w:p>
      <w:pPr>
        <w:pStyle w:val="Heading4"/>
      </w:pPr>
      <w:r>
        <w:t xml:space="preserve">4.2.3. Transportation Emissions</w:t>
      </w:r>
    </w:p>
    <w:p>
      <w:pPr>
        <w:pStyle w:val="FirstParagraph"/>
      </w:pPr>
      <w:r>
        <w:t xml:space="preserve">Assumed Product Weight: 2.6 kg/unit = 0.0026 tonnes/unit</w:t>
      </w:r>
    </w:p>
    <w:bookmarkStart w:id="41" w:name="Xcf95f5e42ff74f3c825215d59e5cb1336fc323a"/>
    <w:p>
      <w:pPr>
        <w:pStyle w:val="Heading5"/>
      </w:pPr>
      <w:r>
        <w:t xml:space="preserve">a. Upstream Transportation (Scope 3, Category 4)</w:t>
      </w:r>
    </w:p>
    <w:p>
      <w:pPr>
        <w:pStyle w:val="FirstParagraph"/>
      </w:pPr>
      <w:r>
        <w:t xml:space="preserve">Transport of materials from European suppliers to the manufacturing facility in China.</w:t>
      </w:r>
    </w:p>
    <w:p>
      <w:pPr>
        <w:numPr>
          <w:ilvl w:val="0"/>
          <w:numId w:val="1012"/>
        </w:numPr>
        <w:pStyle w:val="Compact"/>
      </w:pPr>
      <w:r>
        <w:t xml:space="preserve">Transport Mode: Road Freight (HGV &gt;20t)</w:t>
      </w:r>
    </w:p>
    <w:p>
      <w:pPr>
        <w:numPr>
          <w:ilvl w:val="0"/>
          <w:numId w:val="1012"/>
        </w:numPr>
        <w:pStyle w:val="Compact"/>
      </w:pPr>
      <w:r>
        <w:t xml:space="preserve">Transport Distance: 500 km</w:t>
      </w:r>
    </w:p>
    <w:p>
      <w:pPr>
        <w:numPr>
          <w:ilvl w:val="0"/>
          <w:numId w:val="1012"/>
        </w:numPr>
        <w:pStyle w:val="Compact"/>
      </w:pPr>
      <w:r>
        <w:t xml:space="preserve">Emission Factor: 0.092 kgCO2e/tonne-km</w:t>
      </w:r>
    </w:p>
    <w:p>
      <w:pPr>
        <w:pStyle w:val="FirstParagraph"/>
      </w:pPr>
      <w:r>
        <w:rPr>
          <w:bCs/>
          <w:b/>
        </w:rPr>
        <w:t xml:space="preserve">Calculation:</w:t>
      </w:r>
      <w:r>
        <w:t xml:space="preserve"> </w:t>
      </w:r>
      <w:r>
        <w:t xml:space="preserve">0.0026 tonnes/unit * 500 km * 0.092 kgCO2e/tonne-km = 0.1196 kgCO2e/unit</w:t>
      </w:r>
    </w:p>
    <w:p>
      <w:pPr>
        <w:pStyle w:val="BodyText"/>
      </w:pPr>
      <w:r>
        <w:rPr>
          <w:bCs/>
          <w:b/>
        </w:rPr>
        <w:t xml:space="preserve">Calculated Emissions (Upstream Transport): 0.12 kgCO2e/unit</w:t>
      </w:r>
    </w:p>
    <w:bookmarkEnd w:id="41"/>
    <w:bookmarkStart w:id="42" w:name="Xee8e816ecc08fd7e22b8a72e9a6e02e93659d76"/>
    <w:p>
      <w:pPr>
        <w:pStyle w:val="Heading5"/>
      </w:pPr>
      <w:r>
        <w:t xml:space="preserve">b. Downstream Transportation (Scope 3, Category 9)</w:t>
      </w:r>
    </w:p>
    <w:p>
      <w:pPr>
        <w:pStyle w:val="FirstParagraph"/>
      </w:pPr>
      <w:r>
        <w:t xml:space="preserve">Primary distribution from factory to regional distribution center (assumed) and last-mile delivery to end-user.</w:t>
      </w:r>
    </w:p>
    <w:p>
      <w:pPr>
        <w:numPr>
          <w:ilvl w:val="0"/>
          <w:numId w:val="1013"/>
        </w:numPr>
        <w:pStyle w:val="Compact"/>
      </w:pPr>
      <w:r>
        <w:rPr>
          <w:bCs/>
          <w:b/>
        </w:rPr>
        <w:t xml:space="preserve">Primary Distribution:</w:t>
      </w:r>
    </w:p>
    <w:p>
      <w:pPr>
        <w:numPr>
          <w:ilvl w:val="0"/>
          <w:numId w:val="1013"/>
        </w:numPr>
        <w:pStyle w:val="Compact"/>
      </w:pPr>
      <w:r>
        <w:t xml:space="preserve">Transport Mode: Road Freight (HGV &gt;20t)</w:t>
      </w:r>
    </w:p>
    <w:p>
      <w:pPr>
        <w:numPr>
          <w:ilvl w:val="0"/>
          <w:numId w:val="1013"/>
        </w:numPr>
        <w:pStyle w:val="Compact"/>
      </w:pPr>
      <w:r>
        <w:t xml:space="preserve">Transport Distance: 200 km (illustrative)</w:t>
      </w:r>
    </w:p>
    <w:p>
      <w:pPr>
        <w:numPr>
          <w:ilvl w:val="0"/>
          <w:numId w:val="1013"/>
        </w:numPr>
        <w:pStyle w:val="Compact"/>
      </w:pPr>
      <w:r>
        <w:t xml:space="preserve">Emission Factor: 0.092 kgCO2e/tonne-km</w:t>
      </w:r>
    </w:p>
    <w:p>
      <w:pPr>
        <w:numPr>
          <w:ilvl w:val="0"/>
          <w:numId w:val="1013"/>
        </w:numPr>
        <w:pStyle w:val="Compact"/>
      </w:pPr>
      <w:r>
        <w:t xml:space="preserve">Calculation: 0.0026 tonnes/unit * 200 km * 0.092 kgCO2e/tonne-km = 0.04784 kgCO2e/unit</w:t>
      </w:r>
    </w:p>
    <w:p>
      <w:pPr>
        <w:numPr>
          <w:ilvl w:val="0"/>
          <w:numId w:val="1013"/>
        </w:numPr>
        <w:pStyle w:val="Compact"/>
      </w:pPr>
      <w:r>
        <w:rPr>
          <w:bCs/>
          <w:b/>
        </w:rPr>
        <w:t xml:space="preserve">Last-Mile Delivery:</w:t>
      </w:r>
    </w:p>
    <w:p>
      <w:pPr>
        <w:numPr>
          <w:ilvl w:val="0"/>
          <w:numId w:val="1013"/>
        </w:numPr>
        <w:pStyle w:val="Compact"/>
      </w:pPr>
      <w:r>
        <w:t xml:space="preserve">Transport Mode: Parcel delivery van (LCV)</w:t>
      </w:r>
    </w:p>
    <w:p>
      <w:pPr>
        <w:numPr>
          <w:ilvl w:val="0"/>
          <w:numId w:val="1013"/>
        </w:numPr>
        <w:pStyle w:val="Compact"/>
      </w:pPr>
      <w:r>
        <w:t xml:space="preserve">Transport Distance: 50 km (illustrative)</w:t>
      </w:r>
    </w:p>
    <w:p>
      <w:pPr>
        <w:numPr>
          <w:ilvl w:val="0"/>
          <w:numId w:val="1013"/>
        </w:numPr>
        <w:pStyle w:val="Compact"/>
      </w:pPr>
      <w:r>
        <w:t xml:space="preserve">Emission Factor: 0.30 kgCO2e/tonne-km</w:t>
      </w:r>
    </w:p>
    <w:p>
      <w:pPr>
        <w:numPr>
          <w:ilvl w:val="0"/>
          <w:numId w:val="1013"/>
        </w:numPr>
        <w:pStyle w:val="Compact"/>
      </w:pPr>
      <w:r>
        <w:t xml:space="preserve">Calculation: 0.0026 tonnes/unit * 50 km * 0.30 kgCO2e/tonne-km = 0.039 kgCO2e/unit</w:t>
      </w:r>
    </w:p>
    <w:p>
      <w:pPr>
        <w:pStyle w:val="FirstParagraph"/>
      </w:pPr>
      <w:r>
        <w:rPr>
          <w:bCs/>
          <w:b/>
        </w:rPr>
        <w:t xml:space="preserve">Calculated Emissions (Downstream Transport):</w:t>
      </w:r>
      <w:r>
        <w:t xml:space="preserve"> </w:t>
      </w:r>
      <w:r>
        <w:t xml:space="preserve">0.04784 + 0.039 = 0.08684 kgCO2e/unit ≈</w:t>
      </w:r>
      <w:r>
        <w:t xml:space="preserve"> </w:t>
      </w:r>
      <w:r>
        <w:rPr>
          <w:bCs/>
          <w:b/>
        </w:rPr>
        <w:t xml:space="preserve">0.09 kgCO2e/unit</w:t>
      </w:r>
    </w:p>
    <w:bookmarkEnd w:id="42"/>
    <w:bookmarkEnd w:id="43"/>
    <w:bookmarkStart w:id="44" w:name="X2dc196917b5c1f019c5c7fe28f56a90ff4f637c"/>
    <w:p>
      <w:pPr>
        <w:pStyle w:val="Heading4"/>
      </w:pPr>
      <w:r>
        <w:t xml:space="preserve">4.2.4. Use Phase Emissions (Scope 3, Category 11: Use of Sold Products)</w:t>
      </w:r>
    </w:p>
    <w:p>
      <w:pPr>
        <w:pStyle w:val="FirstParagraph"/>
      </w:pPr>
      <w:r>
        <w:t xml:space="preserve">Emissions from energy consumption during the product\'s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over Lifespan: 10 kWh/year * 5 years = 50 kWh/unit</w:t>
      </w:r>
    </w:p>
    <w:p>
      <w:pPr>
        <w:numPr>
          <w:ilvl w:val="0"/>
          <w:numId w:val="1014"/>
        </w:numPr>
        <w:pStyle w:val="Compact"/>
      </w:pPr>
      <w:r>
        <w:t xml:space="preserve">China Grid Electricity Emission Factor: 0.58 kgCO2e/kWh</w:t>
      </w:r>
    </w:p>
    <w:p>
      <w:pPr>
        <w:pStyle w:val="FirstParagraph"/>
      </w:pPr>
      <w:r>
        <w:rPr>
          <w:bCs/>
          <w:b/>
        </w:rPr>
        <w:t xml:space="preserve">Calculation:</w:t>
      </w:r>
      <w:r>
        <w:t xml:space="preserve"> </w:t>
      </w:r>
      <w:r>
        <w:t xml:space="preserve">50 kWh/unit * 0.58 kgCO2e/kWh = 29.0 kgCO2e/unit</w:t>
      </w:r>
    </w:p>
    <w:p>
      <w:pPr>
        <w:pStyle w:val="BodyText"/>
      </w:pPr>
      <w:r>
        <w:rPr>
          <w:bCs/>
          <w:b/>
        </w:rPr>
        <w:t xml:space="preserve">Calculated Emissions (Use Phase): 29.0 kgCO2e/unit</w:t>
      </w:r>
    </w:p>
    <w:bookmarkEnd w:id="44"/>
    <w:bookmarkStart w:id="45" w:name="X09a1149b417a1fb7b7b6296c47a3637e47a6cb2"/>
    <w:p>
      <w:pPr>
        <w:pStyle w:val="Heading4"/>
      </w:pPr>
      <w:r>
        <w:t xml:space="preserve">4.2.5. End-of-Life (EoL) Emissions (Scope 3, Category 12: End-of-Life Treatment of Sold Products)</w:t>
      </w:r>
    </w:p>
    <w:p>
      <w:pPr>
        <w:pStyle w:val="FirstParagraph"/>
      </w:pPr>
      <w:r>
        <w:t xml:space="preserve">Based on recyclability and assumed disposal methods for the remaining waste.</w:t>
      </w:r>
    </w:p>
    <w:p>
      <w:pPr>
        <w:numPr>
          <w:ilvl w:val="0"/>
          <w:numId w:val="1015"/>
        </w:numPr>
        <w:pStyle w:val="Compact"/>
      </w:pPr>
      <w:r>
        <w:t xml:space="preserve">Product Weight: 2.6 kg/unit</w:t>
      </w:r>
    </w:p>
    <w:p>
      <w:pPr>
        <w:numPr>
          <w:ilvl w:val="0"/>
          <w:numId w:val="1015"/>
        </w:numPr>
        <w:pStyle w:val="Compact"/>
      </w:pPr>
      <w:r>
        <w:t xml:space="preserve">Recyclability Percentage: 70%</w:t>
      </w:r>
    </w:p>
    <w:p>
      <w:pPr>
        <w:numPr>
          <w:ilvl w:val="0"/>
          <w:numId w:val="1015"/>
        </w:numPr>
        <w:pStyle w:val="Compact"/>
      </w:pPr>
      <w:r>
        <w:t xml:space="preserve">Recycled Portion: 2.6 kg * 0.70 = 1.82 kg</w:t>
      </w:r>
    </w:p>
    <w:p>
      <w:pPr>
        <w:numPr>
          <w:ilvl w:val="0"/>
          <w:numId w:val="1015"/>
        </w:numPr>
        <w:pStyle w:val="Compact"/>
      </w:pPr>
      <w:r>
        <w:t xml:space="preserve">Disposed Portion: 2.6 kg * (1 - 0.70) = 0.78 kg</w:t>
      </w:r>
    </w:p>
    <w:p>
      <w:pPr>
        <w:numPr>
          <w:ilvl w:val="0"/>
          <w:numId w:val="1015"/>
        </w:numPr>
        <w:pStyle w:val="Compact"/>
      </w:pPr>
      <w:r>
        <w:t xml:space="preserve">Recycling Credit: -1.50 kgCO2e/kg</w:t>
      </w:r>
    </w:p>
    <w:p>
      <w:pPr>
        <w:numPr>
          <w:ilvl w:val="0"/>
          <w:numId w:val="1015"/>
        </w:numPr>
        <w:pStyle w:val="Compact"/>
      </w:pPr>
      <w:r>
        <w:t xml:space="preserve">Landfill/Incineration Emission Factor: 0.20 kgCO2e/kg</w:t>
      </w:r>
    </w:p>
    <w:p>
      <w:pPr>
        <w:pStyle w:val="FirstParagraph"/>
      </w:pPr>
      <w:r>
        <w:rPr>
          <w:bCs/>
          <w:b/>
        </w:rPr>
        <w:t xml:space="preserve">Calculation:</w:t>
      </w:r>
    </w:p>
    <w:p>
      <w:pPr>
        <w:numPr>
          <w:ilvl w:val="0"/>
          <w:numId w:val="1016"/>
        </w:numPr>
        <w:pStyle w:val="Compact"/>
      </w:pPr>
      <w:r>
        <w:t xml:space="preserve">Recycling Impact: 1.82 kg * -1.50 kgCO2e/kg = -2.73 kgCO2e/unit</w:t>
      </w:r>
    </w:p>
    <w:p>
      <w:pPr>
        <w:numPr>
          <w:ilvl w:val="0"/>
          <w:numId w:val="1016"/>
        </w:numPr>
        <w:pStyle w:val="Compact"/>
      </w:pPr>
      <w:r>
        <w:t xml:space="preserve">Disposal Impact: 0.78 kg * 0.20 kgCO2e/kg = 0.156 kgCO2e/unit</w:t>
      </w:r>
    </w:p>
    <w:p>
      <w:pPr>
        <w:pStyle w:val="FirstParagraph"/>
      </w:pPr>
      <w:r>
        <w:t xml:space="preserve">The existence of</w:t>
      </w:r>
      <w:r>
        <w:t xml:space="preserve"> </w:t>
      </w:r>
      <w:r>
        <w:rPr>
          <w:bCs/>
          <w:b/>
        </w:rPr>
        <w:t xml:space="preserve">Circular/Take-back Programs (mnjuiwnyej)</w:t>
      </w:r>
      <w:r>
        <w:t xml:space="preserve"> </w:t>
      </w:r>
      <w:r>
        <w:t xml:space="preserve">can further optimize material recovery and potentially increase the effective recycling rate or reduce the energy intensity of recycling processes beyond generic assumptions, though for this quantification, the provided recyclability percentage is used as the primary input. These programs are vital for improving data quality and actual material circularity.</w:t>
      </w:r>
    </w:p>
    <w:p>
      <w:pPr>
        <w:pStyle w:val="BodyText"/>
      </w:pPr>
      <w:r>
        <w:rPr>
          <w:bCs/>
          <w:b/>
        </w:rPr>
        <w:t xml:space="preserve">Calculated Emissions (EoL):</w:t>
      </w:r>
      <w:r>
        <w:t xml:space="preserve"> </w:t>
      </w:r>
      <w:r>
        <w:t xml:space="preserve">-2.73 + 0.156 = -2.574 kgCO2e/unit ≈</w:t>
      </w:r>
      <w:r>
        <w:t xml:space="preserve"> </w:t>
      </w:r>
      <w:r>
        <w:rPr>
          <w:bCs/>
          <w:b/>
        </w:rPr>
        <w:t xml:space="preserve">-2.57 kgCO2e/unit</w:t>
      </w:r>
      <w:r>
        <w:t xml:space="preserve"> </w:t>
      </w:r>
      <w:r>
        <w:t xml:space="preserve">(Net reduction due to high recycling credit)</w:t>
      </w:r>
    </w:p>
    <w:bookmarkEnd w:id="45"/>
    <w:bookmarkEnd w:id="46"/>
    <w:bookmarkStart w:id="47" w:name="total-product-carbon-footprint-summary"/>
    <w:p>
      <w:pPr>
        <w:pStyle w:val="Heading3"/>
      </w:pPr>
      <w:r>
        <w:t xml:space="preserve">4.3. Total Product Carbon Footprint Summary</w:t>
      </w:r>
    </w:p>
    <w:p>
      <w:pPr>
        <w:pStyle w:val="FirstParagraph"/>
      </w:pPr>
      <w:r>
        <w:t xml:space="preserve">The following table summarizes the emissions calculated for each stage of the product lifecycle for one functional unit of</w:t>
      </w:r>
      <w:r>
        <w:t xml:space="preserve"> </w:t>
      </w:r>
      <w:r>
        <w:rPr>
          <w:bCs/>
          <w:b/>
        </w:rPr>
        <w:t xml:space="preserve">dthpkoqpii</w:t>
      </w:r>
      <w:r>
        <w:t xml:space="preser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20.50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0.61</w:t>
            </w:r>
          </w:p>
        </w:tc>
      </w:tr>
      <w:tr>
        <w:tc>
          <w:tcPr/>
          <w:p>
            <w:pPr>
              <w:pStyle w:val="Compact"/>
              <w:jc w:val="left"/>
            </w:pPr>
            <w:r>
              <w:t xml:space="preserve">Manufacturing (Upstream energy-related activities)</w:t>
            </w:r>
          </w:p>
        </w:tc>
        <w:tc>
          <w:tcPr/>
          <w:p>
            <w:pPr>
              <w:pStyle w:val="Compact"/>
              <w:jc w:val="left"/>
            </w:pPr>
            <w:r>
              <w:t xml:space="preserve">Scope 3, Category 3</w:t>
            </w:r>
          </w:p>
        </w:tc>
        <w:tc>
          <w:tcPr/>
          <w:p>
            <w:pPr>
              <w:pStyle w:val="Compact"/>
              <w:jc w:val="left"/>
            </w:pPr>
            <w:r>
              <w:t xml:space="preserve">0.06</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-2.57</w:t>
            </w:r>
          </w:p>
        </w:tc>
      </w:tr>
      <w:tr>
        <w:tc>
          <w:tcPr/>
          <w:p>
            <w:pPr>
              <w:pStyle w:val="Compact"/>
              <w:jc w:val="left"/>
            </w:pPr>
            <w:r>
              <w:rPr>
                <w:bCs/>
                <w:b/>
              </w:rPr>
              <w:t xml:space="preserve">Total Product Carbon Footprint (PCF)</w:t>
            </w:r>
          </w:p>
        </w:tc>
        <w:tc>
          <w:tcPr/>
          <w:p>
            <w:pPr>
              <w:pStyle w:val="Compact"/>
            </w:pPr>
          </w:p>
        </w:tc>
        <w:tc>
          <w:tcPr/>
          <w:p>
            <w:pPr>
              <w:pStyle w:val="Compact"/>
              <w:jc w:val="left"/>
            </w:pPr>
            <w:r>
              <w:rPr>
                <w:bCs/>
                <w:b/>
              </w:rPr>
              <w:t xml:space="preserve">47.81 kgCO2e/unit</w:t>
            </w:r>
          </w:p>
        </w:tc>
      </w:tr>
    </w:tbl>
    <w:p>
      <w:r>
        <w:pict>
          <v:rect style="width:0;height:1.5pt" o:hralign="center" o:hrstd="t" o:hr="t"/>
        </w:pict>
      </w:r>
    </w:p>
    <w:bookmarkEnd w:id="47"/>
    <w:bookmarkEnd w:id="48"/>
    <w:bookmarkStart w:id="53"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detailed PCF analysis, the primary emission hotspots for</w:t>
      </w:r>
      <w:r>
        <w:t xml:space="preserve"> </w:t>
      </w:r>
      <w:r>
        <w:rPr>
          <w:bCs/>
          <w:b/>
        </w:rPr>
        <w:t xml:space="preserve">dthpkoqpii</w:t>
      </w:r>
      <w:r>
        <w:t xml:space="preserve"> </w:t>
      </w:r>
      <w:r>
        <w:t xml:space="preserve">are:</w:t>
      </w:r>
    </w:p>
    <w:p>
      <w:pPr>
        <w:numPr>
          <w:ilvl w:val="0"/>
          <w:numId w:val="1017"/>
        </w:numPr>
        <w:pStyle w:val="Compact"/>
      </w:pPr>
      <w:r>
        <w:rPr>
          <w:bCs/>
          <w:b/>
        </w:rPr>
        <w:t xml:space="preserve">Use Phase (29.00 kgCO2e/unit):</w:t>
      </w:r>
      <w:r>
        <w:t xml:space="preserve"> </w:t>
      </w:r>
      <w:r>
        <w:t xml:space="preserve">This stage contributes the largest portion of the product\'s footprint, primarily due to the energy consumption over its 5-year lifespan. This highlights the importance of energy efficiency during product operation and the reliance on regional grid mixes.</w:t>
      </w:r>
    </w:p>
    <w:p>
      <w:pPr>
        <w:numPr>
          <w:ilvl w:val="0"/>
          <w:numId w:val="1017"/>
        </w:numPr>
        <w:pStyle w:val="Compact"/>
      </w:pPr>
      <w:r>
        <w:rPr>
          <w:bCs/>
          <w:b/>
        </w:rPr>
        <w:t xml:space="preserve">Raw Material Acquisition &amp; Processing (20.50 kgCO2e/unit):</w:t>
      </w:r>
      <w:r>
        <w:t xml:space="preserve"> </w:t>
      </w:r>
      <w:r>
        <w:t xml:space="preserve">The impact of material production, particularly the Aluminum Casing and Circuit Board, is significant. This emphasizes the need for sustainable sourcing and material selection.</w:t>
      </w:r>
    </w:p>
    <w:p>
      <w:pPr>
        <w:numPr>
          <w:ilvl w:val="0"/>
          <w:numId w:val="1017"/>
        </w:numPr>
        <w:pStyle w:val="Compact"/>
      </w:pPr>
      <w:r>
        <w:rPr>
          <w:bCs/>
          <w:b/>
        </w:rPr>
        <w:t xml:space="preserve">End-of-Life Treatment (-2.57 kgCO2e/unit):</w:t>
      </w:r>
      <w:r>
        <w:t xml:space="preserve"> </w:t>
      </w:r>
      <w:r>
        <w:t xml:space="preserve">While a net reduction is observed due to the high recyclability percentage and associated credits, effective implementation of recycling and circular programs is crucial to realize these benefits.</w:t>
      </w:r>
    </w:p>
    <w:bookmarkEnd w:id="49"/>
    <w:bookmarkStart w:id="50" w:name="scope-3-compliance"/>
    <w:p>
      <w:pPr>
        <w:pStyle w:val="Heading3"/>
      </w:pPr>
      <w:r>
        <w:t xml:space="preserve">5.2. Scope 3 Compliance</w:t>
      </w:r>
    </w:p>
    <w:p>
      <w:pPr>
        <w:pStyle w:val="FirstParagraph"/>
      </w:pPr>
      <w:r>
        <w:t xml:space="preserve">This report ensures at least 95% coverage for Scope 3 reporting, as per the 2026 requirements, by comprehensively including emissions from purchased goods and services, all relevant transportation, the use phase, and end-of-life treatment.</w:t>
      </w:r>
    </w:p>
    <w:bookmarkEnd w:id="50"/>
    <w:bookmarkStart w:id="51" w:name="data-reliability"/>
    <w:p>
      <w:pPr>
        <w:pStyle w:val="Heading3"/>
      </w:pPr>
      <w:r>
        <w:t xml:space="preserve">5.3. Data Reliability</w:t>
      </w:r>
    </w:p>
    <w:p>
      <w:pPr>
        <w:pStyle w:val="FirstParagraph"/>
      </w:pPr>
      <w:r>
        <w:t xml:space="preserve">The reliability of this PCF relies on the accuracy of the provided primary data and the representativeness of the assumed secondary emission factors. While industry-standard factors have been used, actual emissions may vary based on specific supplier data, precise transport routes, and actual consumer behavior. Further efforts to collect primary data for all upstream and downstream activities would enhance the precision of this analysis.</w:t>
      </w:r>
    </w:p>
    <w:bookmarkEnd w:id="51"/>
    <w:bookmarkStart w:id="52" w:name="recommendations-for-emission-reduction"/>
    <w:p>
      <w:pPr>
        <w:pStyle w:val="Heading3"/>
      </w:pPr>
      <w:r>
        <w:t xml:space="preserve">5.4. Recommendations for Emission Reduction</w:t>
      </w:r>
    </w:p>
    <w:p>
      <w:pPr>
        <w:numPr>
          <w:ilvl w:val="0"/>
          <w:numId w:val="1018"/>
        </w:numPr>
        <w:pStyle w:val="Compact"/>
      </w:pPr>
      <w:r>
        <w:rPr>
          <w:bCs/>
          <w:b/>
        </w:rPr>
        <w:t xml:space="preserve">Enhance Use Phase Efficiency:</w:t>
      </w:r>
      <w:r>
        <w:t xml:space="preserve"> </w:t>
      </w:r>
      <w:r>
        <w:t xml:space="preserve">Focus on designing dthpkoqpii for lower energy consumption during its use phase. Explore options for integration with renewable energy sources for end-users or offer energy-saving modes.</w:t>
      </w:r>
    </w:p>
    <w:p>
      <w:pPr>
        <w:numPr>
          <w:ilvl w:val="0"/>
          <w:numId w:val="1018"/>
        </w:numPr>
        <w:pStyle w:val="Compact"/>
      </w:pPr>
      <w:r>
        <w:rPr>
          <w:bCs/>
          <w:b/>
        </w:rPr>
        <w:t xml:space="preserve">Sustainable Material Sourcing:</w:t>
      </w:r>
      <w:r>
        <w:t xml:space="preserve"> </w:t>
      </w:r>
      <w:r>
        <w:t xml:space="preserve">Investigate opportunities to source lower-carbon alternatives for high-impact materials (e.g., Aluminum, Circuit Board). Engage with suppliers to encourage their decarbonization efforts and explore increased recycled content beyond current levels.</w:t>
      </w:r>
    </w:p>
    <w:p>
      <w:pPr>
        <w:numPr>
          <w:ilvl w:val="0"/>
          <w:numId w:val="1018"/>
        </w:numPr>
        <w:pStyle w:val="Compact"/>
      </w:pPr>
      <w:r>
        <w:rPr>
          <w:bCs/>
          <w:b/>
        </w:rPr>
        <w:t xml:space="preserve">Optimize Logistics:</w:t>
      </w:r>
      <w:r>
        <w:t xml:space="preserve"> </w:t>
      </w:r>
      <w:r>
        <w:t xml:space="preserve">Evaluate opportunities to reduce transport distances and shift to lower-emission transport modes for both upstream and downstream logistics, especially for the Europe-focused supply chain.</w:t>
      </w:r>
    </w:p>
    <w:p>
      <w:pPr>
        <w:numPr>
          <w:ilvl w:val="0"/>
          <w:numId w:val="1018"/>
        </w:numPr>
        <w:pStyle w:val="Compact"/>
      </w:pPr>
      <w:r>
        <w:rPr>
          <w:bCs/>
          <w:b/>
        </w:rPr>
        <w:t xml:space="preserve">Strengthen Circularity:</w:t>
      </w:r>
      <w:r>
        <w:t xml:space="preserve"> </w:t>
      </w:r>
      <w:r>
        <w:t xml:space="preserve">Leverage the "mnjuiwnyej" (Circular/Take-back Programs) to not only ensure high recyclability but also to explore repair, refurbishment, or remanufacturing options to extend product lifespan and minimize virgin material demand.</w:t>
      </w:r>
    </w:p>
    <w:p>
      <w:pPr>
        <w:numPr>
          <w:ilvl w:val="0"/>
          <w:numId w:val="1018"/>
        </w:numPr>
        <w:pStyle w:val="Compact"/>
      </w:pPr>
      <w:r>
        <w:rPr>
          <w:bCs/>
          <w:b/>
        </w:rPr>
        <w:t xml:space="preserve">LSR Standard Integration:</w:t>
      </w:r>
      <w:r>
        <w:t xml:space="preserve"> </w:t>
      </w:r>
      <w:r>
        <w:t xml:space="preserve">For any future product iterations or materials with significant land sector impacts, collect specific data to fully integrate the LSR Standard\'s requirements for precise accounting of land emissions and removals.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dthpkoqpii</dc:title>
  <dc:creator/>
  <dc:description>High-detail Product Carbon Footprint (PCF) analysis report for dthpkoqpii, adhering to GHG Protocol standards and 2026 LSR Update requirements.</dc:description>
  <dc:language>en</dc:language>
  <cp:keywords/>
  <dcterms:created xsi:type="dcterms:W3CDTF">2026-05-30T15:54:49Z</dcterms:created>
  <dcterms:modified xsi:type="dcterms:W3CDTF">2026-05-30T15:54:49Z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