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dsdsmnsmmk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dsdsmnsmmk</w:t>
      </w:r>
    </w:p>
    <w:p>
      <w:pPr>
        <w:pStyle w:val="BodyText"/>
      </w:pPr>
      <w:r>
        <w:rPr>
          <w:bCs/>
          <w:b/>
        </w:rPr>
        <w:t xml:space="preserve">Company Name:</w:t>
      </w:r>
      <w:r>
        <w:t xml:space="preserve"> </w:t>
      </w:r>
      <w:r>
        <w:t xml:space="preserve">rvxispqmyv</w:t>
      </w:r>
    </w:p>
    <w:p>
      <w:pPr>
        <w:pStyle w:val="BodyText"/>
      </w:pPr>
      <w:r>
        <w:rPr>
          <w:bCs/>
          <w:b/>
        </w:rPr>
        <w:t xml:space="preserve">Senior Sustainability Consultant:</w:t>
      </w:r>
      <w:r>
        <w:t xml:space="preserve"> </w:t>
      </w:r>
      <w:r>
        <w:t xml:space="preserve">rrqeyjmuig</w:t>
      </w:r>
    </w:p>
    <w:p>
      <w:pPr>
        <w:pStyle w:val="BodyText"/>
      </w:pPr>
      <w:r>
        <w:rPr>
          <w:bCs/>
          <w:b/>
        </w:rPr>
        <w:t xml:space="preserve">Accounting Standard:</w:t>
      </w:r>
      <w:r>
        <w:t xml:space="preserve"> </w:t>
      </w:r>
      <w:r>
        <w:t xml:space="preserve">GHG Protocol</w:t>
      </w:r>
    </w:p>
    <w:p>
      <w:pPr>
        <w:pStyle w:val="BodyText"/>
      </w:pPr>
      <w:r>
        <w:br/>
      </w:r>
    </w:p>
    <w:p>
      <w:pPr>
        <w:pStyle w:val="BodyText"/>
      </w:pPr>
      <w:r>
        <w:t xml:space="preserve">Disclaimer: This report is generated based on available data and industry standards.</w:t>
      </w:r>
      <w:r>
        <w:t xml:space="preserve"> </w:t>
      </w:r>
      <w:r>
        <w:t xml:space="preserve">The calculations presented are illustrative, utilizing example numerical values</w:t>
      </w:r>
      <w:r>
        <w:t xml:space="preserve"> </w:t>
      </w:r>
      <w:r>
        <w:t xml:space="preserve">for certain parameters where specific numerical inputs were not provided for</w:t>
      </w:r>
      <w:r>
        <w:t xml:space="preserve"> </w:t>
      </w:r>
      <w:r>
        <w:t xml:space="preserve">the calculation phase, but rather placeholder strings.</w:t>
      </w:r>
    </w:p>
    <w:bookmarkEnd w:id="20"/>
    <w:bookmarkStart w:id="41" w:name="X052c6970ddc0e1cee7d6cdc1ebd5bd43ae22742"/>
    <w:p>
      <w:pPr>
        <w:pStyle w:val="Heading1"/>
      </w:pPr>
      <w:r>
        <w:t xml:space="preserve">Product Carbon Footprint Report for dsdsmnsmmk</w:t>
      </w:r>
    </w:p>
    <w:p>
      <w:pPr>
        <w:pStyle w:val="FirstParagraph"/>
      </w:pPr>
      <w:r>
        <w:rPr>
          <w:bCs/>
          <w:b/>
        </w:rPr>
        <w:t xml:space="preserve">Generated Date:</w:t>
      </w:r>
      <w:r>
        <w:t xml:space="preserve"> </w:t>
      </w:r>
      <w:r>
        <w:t xml:space="preserve">June 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\'dsdsmnsmmk\',</w:t>
      </w:r>
      <w:r>
        <w:t xml:space="preserve"> </w:t>
      </w:r>
      <w:r>
        <w:t xml:space="preserve">manufactured by \'rvxispqmyv\'. The analysis, conducted by Senior Sustainability Consultant rrqeyjmuig,</w:t>
      </w:r>
      <w:r>
        <w:t xml:space="preserve"> </w:t>
      </w:r>
      <w:r>
        <w:t xml:space="preserve">adheres to the GHG Protocol and incorporates the latest 2026 Land Sector and Removals (LSR) Standard</w:t>
      </w:r>
      <w:r>
        <w:t xml:space="preserve"> </w:t>
      </w:r>
      <w:r>
        <w:t xml:space="preserve">updates. The primary system boundary for reporting is \'factory_gate\', however, to provide a holistic view,</w:t>
      </w:r>
      <w:r>
        <w:t xml:space="preserve"> </w:t>
      </w:r>
      <w:r>
        <w:t xml:space="preserve">this analysis also includes an expansion into the use phase and end-of-life scenarios,</w:t>
      </w:r>
      <w:r>
        <w:t xml:space="preserve"> </w:t>
      </w:r>
      <w:r>
        <w:t xml:space="preserve">as specifically requested. The aim is to identify major emission hotspots across the product\'s</w:t>
      </w:r>
      <w:r>
        <w:t xml:space="preserve"> </w:t>
      </w:r>
      <w:r>
        <w:t xml:space="preserve">lifecycle and provide actionable insights for emission reduction.</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This section outlines the foundational parameters for the Product Carbon Footprint (PCF) analysis</w:t>
      </w:r>
      <w:r>
        <w:t xml:space="preserve"> </w:t>
      </w:r>
      <w:r>
        <w:t xml:space="preserve">of \'dsdsmnsmmk\'.</w:t>
      </w:r>
    </w:p>
    <w:p>
      <w:pPr>
        <w:numPr>
          <w:ilvl w:val="0"/>
          <w:numId w:val="1001"/>
        </w:numPr>
        <w:pStyle w:val="Compact"/>
      </w:pPr>
      <w:r>
        <w:rPr>
          <w:bCs/>
          <w:b/>
        </w:rPr>
        <w:t xml:space="preserve">Functional Unit:</w:t>
      </w:r>
      <w:r>
        <w:t xml:space="preserve"> </w:t>
      </w:r>
      <w:r>
        <w:t xml:space="preserve">1.0 unit of dsdsmnsmmk. This unit serves as the reference basis for all emission calculations, ensuring comparability and consistency.</w:t>
      </w:r>
    </w:p>
    <w:p>
      <w:pPr>
        <w:numPr>
          <w:ilvl w:val="0"/>
          <w:numId w:val="1001"/>
        </w:numPr>
        <w:pStyle w:val="Compact"/>
      </w:pPr>
      <w:r>
        <w:rPr>
          <w:bCs/>
          <w:b/>
        </w:rPr>
        <w:t xml:space="preserve">System Boundary:</w:t>
      </w:r>
      <w:r>
        <w:t xml:space="preserve"> </w:t>
      </w:r>
      <w:r>
        <w:t xml:space="preserve">The primary reporting boundary is \'factory_gate\'. This encompasses all emissions from raw material extraction, processing, component manufacturing, and transport up to the point where the finished product leaves the production facility. As specifically requested, the analysis further extends to include the \'Use Phase\' and \'End-of-Life\' scenarios to offer a comprehensive "cradle-to-grave" perspective.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implies a significant portion of upstream material sourcing and/or initial processing occurs within Europe before final assembly in China.</w:t>
      </w:r>
    </w:p>
    <w:p>
      <w:pPr>
        <w:numPr>
          <w:ilvl w:val="0"/>
          <w:numId w:val="1001"/>
        </w:numPr>
        <w:pStyle w:val="Compact"/>
      </w:pPr>
      <w:r>
        <w:rPr>
          <w:bCs/>
          <w:b/>
        </w:rPr>
        <w:t xml:space="preserve">Accounting Standard:</w:t>
      </w:r>
      <w:r>
        <w:t xml:space="preserve"> </w:t>
      </w:r>
      <w:r>
        <w:t xml:space="preserve">GHG Protocol. All calculations, categorizations (Scope 1, 2, 3), and reporting methodologies strictly follow the Greenhouse Gas Protocol Product Standard. [1, 2, 3, 4, 10]</w:t>
      </w:r>
    </w:p>
    <w:p>
      <w:pPr>
        <w:numPr>
          <w:ilvl w:val="0"/>
          <w:numId w:val="1001"/>
        </w:numPr>
        <w:pStyle w:val="Compact"/>
      </w:pPr>
      <w:r>
        <w:rPr>
          <w:bCs/>
          <w:b/>
        </w:rPr>
        <w:t xml:space="preserve">Allocation:</w:t>
      </w:r>
      <w:r>
        <w:t xml:space="preserve"> </w:t>
      </w:r>
      <w:r>
        <w:t xml:space="preserve">Where relevant, emissions are allocated based on physical (e.g., mass) or economic relationships in accordance with GHG Protocol guidance. For this single-product PCF, direct allocation of inputs and outputs to the functional unit is applied.</w:t>
      </w:r>
    </w:p>
    <w:p>
      <w:r>
        <w:pict>
          <v:rect style="width:0;height:1.5pt" o:hralign="center" o:hrstd="t" o:hr="t"/>
        </w:pict>
      </w:r>
    </w:p>
    <w:bookmarkEnd w:id="22"/>
    <w:bookmarkStart w:id="28" w:name="X9b3f95e3515408304ff4a9cec9842f2424d7a20"/>
    <w:p>
      <w:pPr>
        <w:pStyle w:val="Heading2"/>
      </w:pPr>
      <w:r>
        <w:t xml:space="preserve">2. Map Lifecycle (LCI Inventory Stages) &amp; 3. Collect Data (Primary/Secondary Data Points)</w:t>
      </w:r>
    </w:p>
    <w:p>
      <w:pPr>
        <w:pStyle w:val="FirstParagraph"/>
      </w:pPr>
      <w:r>
        <w:t xml:space="preserve">The lifecycle of \'dsdsmnsmmk\' is mapped across key stages, from raw material acquisition to end-of-life.</w:t>
      </w:r>
      <w:r>
        <w:t xml:space="preserve"> </w:t>
      </w:r>
      <w:r>
        <w:t xml:space="preserve">Data collection leverages a combination of primary information provided and industry-standard secondary</w:t>
      </w:r>
      <w:r>
        <w:t xml:space="preserve"> </w:t>
      </w:r>
      <w:r>
        <w:t xml:space="preserve">data for emission factors.</w:t>
      </w:r>
    </w:p>
    <w:bookmarkStart w:id="23" w:name="X27a25553588624fb7137dac639b913f4bd3af60"/>
    <w:p>
      <w:pPr>
        <w:pStyle w:val="Heading3"/>
      </w:pPr>
      <w:r>
        <w:t xml:space="preserve">2.1. Material Acquisition &amp; Pre-processing (Upstream - Scope 3)</w:t>
      </w:r>
    </w:p>
    <w:p>
      <w:pPr>
        <w:pStyle w:val="FirstParagraph"/>
      </w:pPr>
      <w:r>
        <w:t xml:space="preserve">The Detailed Bill of Materials (BOM) for \'dsdsmnsmmk\' (derived from parameter `ljlwgzsu`) forms the basis for</w:t>
      </w:r>
      <w:r>
        <w:t xml:space="preserve"> </w:t>
      </w:r>
      <w:r>
        <w:t xml:space="preserve">calculating the material-related emissions. Each component\'s quantity, unit, and an associated</w:t>
      </w:r>
      <w:r>
        <w:t xml:space="preserve"> </w:t>
      </w:r>
      <w:r>
        <w:t xml:space="preserve">emission factor (provided directly in the BOM for high accuracy) are used. [26, 28, 39, 43]</w:t>
      </w:r>
    </w:p>
    <w:p>
      <w:pPr>
        <w:pStyle w:val="BodyText"/>
      </w:pPr>
      <w:r>
        <w:rPr>
          <w:bCs/>
          <w:b/>
        </w:rPr>
        <w:t xml:space="preserve">Detailed Bill of Materials (BOM) - dsdsmnsmmk:</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w:t>
            </w:r>
          </w:p>
        </w:tc>
        <w:tc>
          <w:tcPr/>
          <w:p>
            <w:pPr>
              <w:pStyle w:val="Compact"/>
              <w:jc w:val="left"/>
            </w:pPr>
            <w:r>
              <w:t xml:space="preserve">0.225</w:t>
            </w:r>
          </w:p>
        </w:tc>
      </w:tr>
    </w:tbl>
    <w:bookmarkEnd w:id="23"/>
    <w:bookmarkStart w:id="24" w:name="X8ce395ed4475a72d73132dd413278962e568caf"/>
    <w:p>
      <w:pPr>
        <w:pStyle w:val="Heading3"/>
      </w:pPr>
      <w:r>
        <w:t xml:space="preserve">2.2. Production &amp; Manufacturing (Core - Scope 1 &amp; 2)</w:t>
      </w:r>
    </w:p>
    <w:p>
      <w:pPr>
        <w:pStyle w:val="FirstParagraph"/>
      </w:pPr>
      <w:r>
        <w:t xml:space="preserve">The energy consumed during the manufacturing of \'dsdsmnsmmk\' at the final production facility in China</w:t>
      </w:r>
      <w:r>
        <w:t xml:space="preserve"> </w:t>
      </w:r>
      <w:r>
        <w:t xml:space="preserve">is a key input.</w:t>
      </w:r>
    </w:p>
    <w:p>
      <w:pPr>
        <w:numPr>
          <w:ilvl w:val="0"/>
          <w:numId w:val="1003"/>
        </w:numPr>
        <w:pStyle w:val="Compact"/>
      </w:pPr>
      <w:r>
        <w:rPr>
          <w:bCs/>
          <w:b/>
        </w:rPr>
        <w:t xml:space="preserve">Energy Intensity (kWh/unit):</w:t>
      </w:r>
      <w:r>
        <w:t xml:space="preserve"> </w:t>
      </w:r>
      <w:r>
        <w:t xml:space="preserve">rgrvqdlylk (</w:t>
      </w:r>
      <w:r>
        <w:rPr>
          <w:iCs/>
          <w:i/>
        </w:rPr>
        <w:t xml:space="preserve">Illustrative value for calculation: 10 kWh/unit</w:t>
      </w:r>
      <w:r>
        <w:t xml:space="preserve">)</w:t>
      </w:r>
    </w:p>
    <w:p>
      <w:pPr>
        <w:numPr>
          <w:ilvl w:val="0"/>
          <w:numId w:val="1003"/>
        </w:numPr>
        <w:pStyle w:val="Compact"/>
      </w:pPr>
      <w:r>
        <w:rPr>
          <w:bCs/>
          <w:b/>
        </w:rPr>
        <w:t xml:space="preserve">Renewable Energy Usage:</w:t>
      </w:r>
      <w:r>
        <w:t xml:space="preserve"> </w:t>
      </w:r>
      <w:r>
        <w:t xml:space="preserve">grssntzzxr (</w:t>
      </w:r>
      <w:r>
        <w:rPr>
          <w:iCs/>
          <w:i/>
        </w:rPr>
        <w:t xml:space="preserve">Illustrative value for calculation: 50%</w:t>
      </w:r>
      <w:r>
        <w:t xml:space="preserve">)</w:t>
      </w:r>
    </w:p>
    <w:p>
      <w:pPr>
        <w:numPr>
          <w:ilvl w:val="0"/>
          <w:numId w:val="1003"/>
        </w:numPr>
        <w:pStyle w:val="Compact"/>
      </w:pPr>
      <w:r>
        <w:rPr>
          <w:bCs/>
          <w:b/>
        </w:rPr>
        <w:t xml:space="preserve">Grid Electricity Emission Factor (China):</w:t>
      </w:r>
      <w:r>
        <w:t xml:space="preserve"> </w:t>
      </w:r>
      <w:r>
        <w:t xml:space="preserve">For calculation purposes, an illustrative factor of 0.60 kg CO2e/kWh is used for the non-renewable portion of electricity. [13, 19, 24]</w:t>
      </w:r>
    </w:p>
    <w:p>
      <w:pPr>
        <w:numPr>
          <w:ilvl w:val="0"/>
          <w:numId w:val="1003"/>
        </w:numPr>
        <w:pStyle w:val="Compact"/>
      </w:pPr>
      <w:r>
        <w:rPr>
          <w:bCs/>
          <w:b/>
        </w:rPr>
        <w:t xml:space="preserve">Renewable Electricity Emission Factor:</w:t>
      </w:r>
      <w:r>
        <w:t xml:space="preserve"> </w:t>
      </w:r>
      <w:r>
        <w:t xml:space="preserve">For calculation purposes, an illustrative factor of 0.01 kg CO2e/kWh (residual emissions) is used for the renewable portion. [23, 42, 44, 47]</w:t>
      </w:r>
    </w:p>
    <w:bookmarkEnd w:id="24"/>
    <w:bookmarkStart w:id="25" w:name="Xfb9e645383a619107bcc46663e20337406a6278"/>
    <w:p>
      <w:pPr>
        <w:pStyle w:val="Heading3"/>
      </w:pPr>
      <w:r>
        <w:t xml:space="preserve">2.3. Transport &amp; Logistics (Upstream &amp; Downstream - Scope 3)</w:t>
      </w:r>
    </w:p>
    <w:p>
      <w:pPr>
        <w:pStyle w:val="FirstParagraph"/>
      </w:pPr>
      <w:r>
        <w:t xml:space="preserve">Transportation plays a significant role in the supply chain. This analysis considers both</w:t>
      </w:r>
      <w:r>
        <w:t xml:space="preserve"> </w:t>
      </w:r>
      <w:r>
        <w:t xml:space="preserve">inbound logistics (transport of materials to the factory) and last-mile delivery.</w:t>
      </w:r>
    </w:p>
    <w:p>
      <w:pPr>
        <w:numPr>
          <w:ilvl w:val="0"/>
          <w:numId w:val="1004"/>
        </w:numPr>
        <w:pStyle w:val="Compact"/>
      </w:pPr>
      <w:r>
        <w:rPr>
          <w:bCs/>
          <w:b/>
        </w:rPr>
        <w:t xml:space="preserve">Transport Mode (Inbound/Primary):</w:t>
      </w:r>
      <w:r>
        <w:t xml:space="preserve"> </w:t>
      </w:r>
      <w:r>
        <w:t xml:space="preserve">Select Mode (</w:t>
      </w:r>
      <w:r>
        <w:rPr>
          <w:iCs/>
          <w:i/>
        </w:rPr>
        <w:t xml:space="preserve">Illustrative value for calculation: Ocean Freight (Container Ship)</w:t>
      </w:r>
      <w:r>
        <w:t xml:space="preserve">)</w:t>
      </w:r>
    </w:p>
    <w:p>
      <w:pPr>
        <w:numPr>
          <w:ilvl w:val="0"/>
          <w:numId w:val="1004"/>
        </w:numPr>
        <w:pStyle w:val="Compact"/>
      </w:pPr>
      <w:r>
        <w:rPr>
          <w:bCs/>
          <w:b/>
        </w:rPr>
        <w:t xml:space="preserve">Transport Distance (Inbound/Primary):</w:t>
      </w:r>
      <w:r>
        <w:t xml:space="preserve"> </w:t>
      </w:r>
      <w:r>
        <w:t xml:space="preserve">hfyzdjkmiv (</w:t>
      </w:r>
      <w:r>
        <w:rPr>
          <w:iCs/>
          <w:i/>
        </w:rPr>
        <w:t xml:space="preserve">Illustrative value for calculation: 10,000 km, assuming European sourcing</w:t>
      </w:r>
      <w:r>
        <w:t xml:space="preserve">)</w:t>
      </w:r>
    </w:p>
    <w:p>
      <w:pPr>
        <w:numPr>
          <w:ilvl w:val="0"/>
          <w:numId w:val="1004"/>
        </w:numPr>
        <w:pStyle w:val="Compact"/>
      </w:pPr>
      <w:r>
        <w:rPr>
          <w:bCs/>
          <w:b/>
        </w:rPr>
        <w:t xml:space="preserve">Transport Mode (Last-Mile):</w:t>
      </w:r>
      <w:r>
        <w:t xml:space="preserve"> </w:t>
      </w:r>
      <w:r>
        <w:t xml:space="preserve">Delivery Type (</w:t>
      </w:r>
      <w:r>
        <w:rPr>
          <w:iCs/>
          <w:i/>
        </w:rPr>
        <w:t xml:space="preserve">Illustrative value for calculation: Parcel Delivery Van</w:t>
      </w:r>
      <w:r>
        <w:t xml:space="preserve">)</w:t>
      </w:r>
    </w:p>
    <w:p>
      <w:pPr>
        <w:numPr>
          <w:ilvl w:val="0"/>
          <w:numId w:val="1004"/>
        </w:numPr>
        <w:pStyle w:val="Compact"/>
      </w:pPr>
      <w:r>
        <w:rPr>
          <w:bCs/>
          <w:b/>
        </w:rPr>
        <w:t xml:space="preserve">Transport Distance (Last-Mile):</w:t>
      </w:r>
      <w:r>
        <w:t xml:space="preserve"> </w:t>
      </w:r>
      <w:r>
        <w:t xml:space="preserve">hfyzdjkmiv (</w:t>
      </w:r>
      <w:r>
        <w:rPr>
          <w:iCs/>
          <w:i/>
        </w:rPr>
        <w:t xml:space="preserve">Illustrative value for calculation: 200 km</w:t>
      </w:r>
      <w:r>
        <w:t xml:space="preserve">)</w:t>
      </w:r>
    </w:p>
    <w:p>
      <w:pPr>
        <w:numPr>
          <w:ilvl w:val="0"/>
          <w:numId w:val="1004"/>
        </w:numPr>
        <w:pStyle w:val="Compact"/>
      </w:pPr>
      <w:r>
        <w:rPr>
          <w:bCs/>
          <w:b/>
        </w:rPr>
        <w:t xml:space="preserve">Illustrative Transport Emission Factors:</w:t>
      </w:r>
    </w:p>
    <w:p>
      <w:pPr>
        <w:numPr>
          <w:ilvl w:val="1"/>
          <w:numId w:val="1005"/>
        </w:numPr>
        <w:pStyle w:val="Compact"/>
      </w:pPr>
      <w:r>
        <w:t xml:space="preserve">Ocean Freight: 0.016 kg CO2e/tkm [6]</w:t>
      </w:r>
    </w:p>
    <w:p>
      <w:pPr>
        <w:numPr>
          <w:ilvl w:val="1"/>
          <w:numId w:val="1005"/>
        </w:numPr>
        <w:pStyle w:val="Compact"/>
      </w:pPr>
      <w:r>
        <w:t xml:space="preserve">Parcel Delivery Van (for product weight per km): 0.1 kg CO2e/tkm [15, 20]</w:t>
      </w:r>
    </w:p>
    <w:bookmarkEnd w:id="25"/>
    <w:bookmarkStart w:id="26" w:name="use-phase-downstream---scope-3"/>
    <w:p>
      <w:pPr>
        <w:pStyle w:val="Heading3"/>
      </w:pPr>
      <w:r>
        <w:t xml:space="preserve">2.4. Use Phase (Downstream - Scope 3)</w:t>
      </w:r>
    </w:p>
    <w:p>
      <w:pPr>
        <w:pStyle w:val="FirstParagraph"/>
      </w:pPr>
      <w:r>
        <w:t xml:space="preserve">The emissions generated during the product\'s lifespan in the hands of the consumer are analyzed.</w:t>
      </w:r>
    </w:p>
    <w:p>
      <w:pPr>
        <w:numPr>
          <w:ilvl w:val="0"/>
          <w:numId w:val="1006"/>
        </w:numPr>
        <w:pStyle w:val="Compact"/>
      </w:pPr>
      <w:r>
        <w:rPr>
          <w:bCs/>
          <w:b/>
        </w:rPr>
        <w:t xml:space="preserve">Product Lifespan:</w:t>
      </w:r>
      <w:r>
        <w:t xml:space="preserve"> </w:t>
      </w:r>
      <w:r>
        <w:t xml:space="preserve">flshxeyvgg (</w:t>
      </w:r>
      <w:r>
        <w:rPr>
          <w:iCs/>
          <w:i/>
        </w:rPr>
        <w:t xml:space="preserve">Illustrative value for calculation: 5 years</w:t>
      </w:r>
      <w:r>
        <w:t xml:space="preserve">)</w:t>
      </w:r>
    </w:p>
    <w:p>
      <w:pPr>
        <w:numPr>
          <w:ilvl w:val="0"/>
          <w:numId w:val="1006"/>
        </w:numPr>
        <w:pStyle w:val="Compact"/>
      </w:pPr>
      <w:r>
        <w:rPr>
          <w:bCs/>
          <w:b/>
        </w:rPr>
        <w:t xml:space="preserve">Energy Consumption in Use:</w:t>
      </w:r>
      <w:r>
        <w:t xml:space="preserve"> </w:t>
      </w:r>
      <w:r>
        <w:t xml:space="preserve">opktlodwto (</w:t>
      </w:r>
      <w:r>
        <w:rPr>
          <w:iCs/>
          <w:i/>
        </w:rPr>
        <w:t xml:space="preserve">Illustrative value for calculation: 20 kWh/year</w:t>
      </w:r>
      <w:r>
        <w:t xml:space="preserve">)</w:t>
      </w:r>
    </w:p>
    <w:p>
      <w:pPr>
        <w:numPr>
          <w:ilvl w:val="0"/>
          <w:numId w:val="1006"/>
        </w:numPr>
        <w:pStyle w:val="Compact"/>
      </w:pPr>
      <w:r>
        <w:rPr>
          <w:bCs/>
          <w:b/>
        </w:rPr>
        <w:t xml:space="preserve">Electricity Emission Factor (Illustrative, Europe-focused):</w:t>
      </w:r>
      <w:r>
        <w:t xml:space="preserve"> </w:t>
      </w:r>
      <w:r>
        <w:t xml:space="preserve">An illustrative factor of 0.20 kg CO2e/kWh is used for average grid electricity consumption during the use phase. [27, 35, 38]</w:t>
      </w:r>
    </w:p>
    <w:bookmarkEnd w:id="26"/>
    <w:bookmarkStart w:id="27" w:name="end-of-life-downstream---scope-3"/>
    <w:p>
      <w:pPr>
        <w:pStyle w:val="Heading3"/>
      </w:pPr>
      <w:r>
        <w:t xml:space="preserve">2.5. End-of-Life (Downstream - Scope 3)</w:t>
      </w:r>
    </w:p>
    <w:p>
      <w:pPr>
        <w:pStyle w:val="FirstParagraph"/>
      </w:pPr>
      <w:r>
        <w:t xml:space="preserve">The fate of the product at the end of its useful life is considered, including recycling and circular programs.</w:t>
      </w:r>
    </w:p>
    <w:p>
      <w:pPr>
        <w:numPr>
          <w:ilvl w:val="0"/>
          <w:numId w:val="1007"/>
        </w:numPr>
        <w:pStyle w:val="Compact"/>
      </w:pPr>
      <w:r>
        <w:rPr>
          <w:bCs/>
          <w:b/>
        </w:rPr>
        <w:t xml:space="preserve">Recyclability Percentage:</w:t>
      </w:r>
      <w:r>
        <w:t xml:space="preserve"> </w:t>
      </w:r>
      <w:r>
        <w:t xml:space="preserve">dmgjoypxrl (</w:t>
      </w:r>
      <w:r>
        <w:rPr>
          <w:iCs/>
          <w:i/>
        </w:rPr>
        <w:t xml:space="preserve">Illustrative value for calculation: 70%</w:t>
      </w:r>
      <w:r>
        <w:t xml:space="preserve">)</w:t>
      </w:r>
    </w:p>
    <w:p>
      <w:pPr>
        <w:numPr>
          <w:ilvl w:val="0"/>
          <w:numId w:val="1007"/>
        </w:numPr>
        <w:pStyle w:val="Compact"/>
      </w:pPr>
      <w:r>
        <w:rPr>
          <w:bCs/>
          <w:b/>
        </w:rPr>
        <w:t xml:space="preserve">Circular/Take-back Programs:</w:t>
      </w:r>
      <w:r>
        <w:t xml:space="preserve"> </w:t>
      </w:r>
      <w:r>
        <w:t xml:space="preserve">qohhllzlxk (</w:t>
      </w:r>
      <w:r>
        <w:rPr>
          <w:iCs/>
          <w:i/>
        </w:rPr>
        <w:t xml:space="preserve">Illustrative: Yes, established take-back scheme</w:t>
      </w:r>
      <w:r>
        <w:t xml:space="preserve">)</w:t>
      </w:r>
    </w:p>
    <w:p>
      <w:pPr>
        <w:numPr>
          <w:ilvl w:val="0"/>
          <w:numId w:val="1007"/>
        </w:numPr>
        <w:pStyle w:val="Compact"/>
      </w:pPr>
      <w:r>
        <w:rPr>
          <w:bCs/>
          <w:b/>
        </w:rPr>
        <w:t xml:space="preserve">Illustrative End-of-Life Emission Factors:</w:t>
      </w:r>
    </w:p>
    <w:p>
      <w:pPr>
        <w:numPr>
          <w:ilvl w:val="1"/>
          <w:numId w:val="1008"/>
        </w:numPr>
        <w:pStyle w:val="Compact"/>
      </w:pPr>
      <w:r>
        <w:t xml:space="preserve">Waste to Landfill/Incineration: 0.5 kg CO2e/kg (for the non-recycled portion) [17, 34, 40, 41]</w:t>
      </w:r>
    </w:p>
    <w:p>
      <w:pPr>
        <w:numPr>
          <w:ilvl w:val="1"/>
          <w:numId w:val="1008"/>
        </w:numPr>
        <w:pStyle w:val="Compact"/>
      </w:pPr>
      <w:r>
        <w:t xml:space="preserve">Recycling Benefit/Avoided Burden: -0.5 kg CO2e/kg (for the recycled portion, representing avoided emissions from virgin material production) [17]</w:t>
      </w:r>
    </w:p>
    <w:p>
      <w:r>
        <w:pict>
          <v:rect style="width:0;height:1.5pt" o:hralign="center" o:hrstd="t" o:hr="t"/>
        </w:pict>
      </w:r>
    </w:p>
    <w:bookmarkEnd w:id="27"/>
    <w:bookmarkEnd w:id="28"/>
    <w:bookmarkStart w:id="36" w:name="Xb404f6bea4a0013006ec7a9103609d9ea6643c1"/>
    <w:p>
      <w:pPr>
        <w:pStyle w:val="Heading2"/>
      </w:pPr>
      <w:r>
        <w:t xml:space="preserve">4. Calculate Emissions (Activity * Emission Factor = CO2e)</w:t>
      </w:r>
    </w:p>
    <w:p>
      <w:pPr>
        <w:pStyle w:val="FirstParagraph"/>
      </w:pPr>
      <w:r>
        <w:t xml:space="preserve">This section details the calculation of greenhouse gas emissions for each lifecycle stage, categorized according</w:t>
      </w:r>
      <w:r>
        <w:t xml:space="preserve"> </w:t>
      </w:r>
      <w:r>
        <w:t xml:space="preserve">to the GHG Protocol Scope 1, 2, and 3. For parameters given as non-numerical strings in the input,</w:t>
      </w:r>
      <w:r>
        <w:t xml:space="preserve"> </w:t>
      </w:r>
      <w:r>
        <w:t xml:space="preserve">illustrative numerical values are used for demonstration purposes, as noted above. [1, 2, 3, 4, 10]</w:t>
      </w:r>
    </w:p>
    <w:bookmarkStart w:id="29" w:name="scope-1-emissions-direct-emissions"/>
    <w:p>
      <w:pPr>
        <w:pStyle w:val="Heading3"/>
      </w:pPr>
      <w:r>
        <w:t xml:space="preserve">4.1. Scope 1 Emissions (Direct Emissions)</w:t>
      </w:r>
    </w:p>
    <w:p>
      <w:pPr>
        <w:pStyle w:val="FirstParagraph"/>
      </w:pPr>
      <w:r>
        <w:t xml:space="preserve">For a product carbon footprint, Scope 1 emissions typically refer to direct GHG emissions from owned or controlled</w:t>
      </w:r>
      <w:r>
        <w:t xml:space="preserve"> </w:t>
      </w:r>
      <w:r>
        <w:t xml:space="preserve">sources at the manufacturing facility directly attributable to the product. Assuming no significant</w:t>
      </w:r>
      <w:r>
        <w:t xml:space="preserve"> </w:t>
      </w:r>
      <w:r>
        <w:t xml:space="preserve">direct on-site fuel combustion specifically for the production of \'dsdsmnsmmk\' beyond purchased electricity,</w:t>
      </w:r>
      <w:r>
        <w:t xml:space="preserve"> </w:t>
      </w:r>
      <w:r>
        <w:t xml:space="preserve">the Scope 1 emissions for this PCF are considered negligible or integrated into upstream material production factors.</w:t>
      </w:r>
      <w:r>
        <w:t xml:space="preserve"> </w:t>
      </w:r>
      <w:r>
        <w:rPr>
          <w:iCs/>
          <w:i/>
        </w:rPr>
        <w:t xml:space="preserve">(Calculated: 0.0 kg CO2e/unit)</w:t>
      </w:r>
    </w:p>
    <w:bookmarkEnd w:id="29"/>
    <w:bookmarkStart w:id="30" w:name="scope-2-emissions-purchased-energy"/>
    <w:p>
      <w:pPr>
        <w:pStyle w:val="Heading3"/>
      </w:pPr>
      <w:r>
        <w:t xml:space="preserve">4.2. Scope 2 Emissions (Purchased Energy)</w:t>
      </w:r>
    </w:p>
    <w:p>
      <w:pPr>
        <w:pStyle w:val="FirstParagraph"/>
      </w:pPr>
      <w:r>
        <w:t xml:space="preserve">Scope 2 emissions account for indirect GHG emissions from the generation of purchased electricity</w:t>
      </w:r>
      <w:r>
        <w:t xml:space="preserve"> </w:t>
      </w:r>
      <w:r>
        <w:t xml:space="preserve">consumed by \'rvxispqmyv\' for manufacturing \'dsdsmnsmmk\'. [1, 2, 3, 4, 10]</w:t>
      </w:r>
    </w:p>
    <w:p>
      <w:pPr>
        <w:numPr>
          <w:ilvl w:val="0"/>
          <w:numId w:val="1009"/>
        </w:numPr>
        <w:pStyle w:val="Compact"/>
      </w:pPr>
      <w:r>
        <w:t xml:space="preserve">Total Energy Intensity: 10 kWh/unit (illustrative `rgrvqdlylk`)</w:t>
      </w:r>
    </w:p>
    <w:p>
      <w:pPr>
        <w:numPr>
          <w:ilvl w:val="0"/>
          <w:numId w:val="1009"/>
        </w:numPr>
        <w:pStyle w:val="Compact"/>
      </w:pPr>
      <w:r>
        <w:t xml:space="preserve">Renewable Energy Usage: 50% (illustrative `grssntzzxr`)</w:t>
      </w:r>
    </w:p>
    <w:p>
      <w:pPr>
        <w:numPr>
          <w:ilvl w:val="0"/>
          <w:numId w:val="1009"/>
        </w:numPr>
        <w:pStyle w:val="Compact"/>
      </w:pPr>
      <w:r>
        <w:t xml:space="preserve">Non-renewable energy: 10 kWh/unit * (1 - 0.50) = 5 kWh/unit</w:t>
      </w:r>
    </w:p>
    <w:p>
      <w:pPr>
        <w:numPr>
          <w:ilvl w:val="0"/>
          <w:numId w:val="1009"/>
        </w:numPr>
        <w:pStyle w:val="Compact"/>
      </w:pPr>
      <w:r>
        <w:t xml:space="preserve">Renewable energy: 10 kWh/unit * 0.50 = 5 kWh/unit</w:t>
      </w:r>
    </w:p>
    <w:p>
      <w:pPr>
        <w:numPr>
          <w:ilvl w:val="0"/>
          <w:numId w:val="1009"/>
        </w:numPr>
        <w:pStyle w:val="Compact"/>
      </w:pPr>
      <w:r>
        <w:t xml:space="preserve">Non-renewable emissions: 5 kWh/unit * 0.60 kg CO2e/kWh (China grid) = 3.0 kg CO2e/unit [13, 19, 24]</w:t>
      </w:r>
    </w:p>
    <w:p>
      <w:pPr>
        <w:numPr>
          <w:ilvl w:val="0"/>
          <w:numId w:val="1009"/>
        </w:numPr>
        <w:pStyle w:val="Compact"/>
      </w:pPr>
      <w:r>
        <w:t xml:space="preserve">Renewable emissions: 5 kWh/unit * 0.01 kg CO2e/kWh (residual) = 0.05 kg CO2e/unit [23, 42, 44, 47]</w:t>
      </w:r>
    </w:p>
    <w:p>
      <w:pPr>
        <w:numPr>
          <w:ilvl w:val="0"/>
          <w:numId w:val="1009"/>
        </w:numPr>
        <w:pStyle w:val="Compact"/>
      </w:pPr>
      <w:r>
        <w:rPr>
          <w:bCs/>
          <w:b/>
        </w:rPr>
        <w:t xml:space="preserve">Total Scope 2 Emissions:</w:t>
      </w:r>
      <w:r>
        <w:t xml:space="preserve"> </w:t>
      </w:r>
      <w:r>
        <w:t xml:space="preserve">3.0 + 0.05 =</w:t>
      </w:r>
      <w:r>
        <w:t xml:space="preserve"> </w:t>
      </w:r>
      <w:r>
        <w:rPr>
          <w:bCs/>
          <w:b/>
        </w:rPr>
        <w:t xml:space="preserve">3.05 kg CO2e/unit</w:t>
      </w:r>
    </w:p>
    <w:bookmarkEnd w:id="30"/>
    <w:bookmarkStart w:id="33" w:name="scope-3-emissions-value-chain-emissions"/>
    <w:p>
      <w:pPr>
        <w:pStyle w:val="Heading3"/>
      </w:pPr>
      <w:r>
        <w:t xml:space="preserve">4.3. Scope 3 Emissions (Value Chain Emissions)</w:t>
      </w:r>
    </w:p>
    <w:p>
      <w:pPr>
        <w:pStyle w:val="FirstParagraph"/>
      </w:pPr>
      <w:r>
        <w:t xml:space="preserve">Scope 3 emissions encompass all other indirect emissions in the value chain, both upstream and downstream. [1, 2, 3, 4, 10]</w:t>
      </w:r>
      <w:r>
        <w:t xml:space="preserve"> </w:t>
      </w:r>
      <w:r>
        <w:t xml:space="preserve">This category ensures at least 95% coverage as per 2026 GHG Protocol requirements. [3]</w:t>
      </w:r>
    </w:p>
    <w:bookmarkStart w:id="31" w:name="upstream-emissions-categories-1-8"/>
    <w:p>
      <w:pPr>
        <w:pStyle w:val="Heading4"/>
      </w:pPr>
      <w:r>
        <w:t xml:space="preserve">4.3.1. Upstream Emissions (Categories 1-8)</w:t>
      </w:r>
    </w:p>
    <w:p>
      <w:pPr>
        <w:numPr>
          <w:ilvl w:val="0"/>
          <w:numId w:val="1010"/>
        </w:numPr>
        <w:pStyle w:val="Compact"/>
      </w:pPr>
      <w:r>
        <w:rPr>
          <w:bCs/>
          <w:b/>
        </w:rPr>
        <w:t xml:space="preserve">Purchased Goods and Services (Category 1 - Materials):</w:t>
      </w:r>
      <w:r>
        <w:t xml:space="preserve"> </w:t>
      </w:r>
      <w:r>
        <w:t xml:space="preserve">[10]</w:t>
      </w:r>
    </w:p>
    <w:p>
      <w:pPr>
        <w:numPr>
          <w:ilvl w:val="1"/>
          <w:numId w:val="1011"/>
        </w:numPr>
        <w:pStyle w:val="Compact"/>
      </w:pPr>
      <w:r>
        <w:t xml:space="preserve">Total from BOM: Sum of \'Total Carbon\' column.</w:t>
      </w:r>
    </w:p>
    <w:p>
      <w:pPr>
        <w:numPr>
          <w:ilvl w:val="2"/>
          <w:numId w:val="1012"/>
        </w:numPr>
        <w:pStyle w:val="Compact"/>
      </w:pPr>
      <w:r>
        <w:t xml:space="preserve">Aluminum Casing: 6.0 kg CO2e</w:t>
      </w:r>
    </w:p>
    <w:p>
      <w:pPr>
        <w:numPr>
          <w:ilvl w:val="2"/>
          <w:numId w:val="1012"/>
        </w:numPr>
        <w:pStyle w:val="Compact"/>
      </w:pPr>
      <w:r>
        <w:t xml:space="preserve">Plastic Housing: 0.7 kg CO2e</w:t>
      </w:r>
    </w:p>
    <w:p>
      <w:pPr>
        <w:numPr>
          <w:ilvl w:val="2"/>
          <w:numId w:val="1012"/>
        </w:numPr>
        <w:pStyle w:val="Compact"/>
      </w:pPr>
      <w:r>
        <w:t xml:space="preserve">Circuit Board: 2.5 kg CO2e</w:t>
      </w:r>
    </w:p>
    <w:p>
      <w:pPr>
        <w:numPr>
          <w:ilvl w:val="2"/>
          <w:numId w:val="1012"/>
        </w:numPr>
        <w:pStyle w:val="Compact"/>
      </w:pPr>
      <w:r>
        <w:t xml:space="preserve">Packaging (Cardboard): 0.225 kg CO2e</w:t>
      </w:r>
    </w:p>
    <w:p>
      <w:pPr>
        <w:numPr>
          <w:ilvl w:val="1"/>
          <w:numId w:val="1011"/>
        </w:numPr>
        <w:pStyle w:val="Compact"/>
      </w:pPr>
      <w:r>
        <w:rPr>
          <w:bCs/>
          <w:b/>
        </w:rPr>
        <w:t xml:space="preserve">Total Material Emissions:</w:t>
      </w:r>
      <w:r>
        <w:t xml:space="preserve"> </w:t>
      </w:r>
      <w:r>
        <w:t xml:space="preserve">6.0 + 0.7 + 2.5 + 0.225 =</w:t>
      </w:r>
      <w:r>
        <w:t xml:space="preserve"> </w:t>
      </w:r>
      <w:r>
        <w:rPr>
          <w:bCs/>
          <w:b/>
        </w:rPr>
        <w:t xml:space="preserve">9.425 kg CO2e/unit</w:t>
      </w:r>
    </w:p>
    <w:p>
      <w:pPr>
        <w:numPr>
          <w:ilvl w:val="0"/>
          <w:numId w:val="1010"/>
        </w:numPr>
        <w:pStyle w:val="Compact"/>
      </w:pPr>
      <w:r>
        <w:rPr>
          <w:bCs/>
          <w:b/>
        </w:rPr>
        <w:t xml:space="preserve">Upstream Transportation and Distribution (Category 4):</w:t>
      </w:r>
      <w:r>
        <w:t xml:space="preserve"> </w:t>
      </w:r>
      <w:r>
        <w:t xml:space="preserve">[10]</w:t>
      </w:r>
    </w:p>
    <w:p>
      <w:pPr>
        <w:numPr>
          <w:ilvl w:val="1"/>
          <w:numId w:val="1013"/>
        </w:numPr>
        <w:pStyle w:val="Compact"/>
      </w:pPr>
      <w:r>
        <w:t xml:space="preserve">Illustrative Product Weight: 0.95 kg/unit (sum of material quantities).</w:t>
      </w:r>
    </w:p>
    <w:p>
      <w:pPr>
        <w:numPr>
          <w:ilvl w:val="1"/>
          <w:numId w:val="1013"/>
        </w:numPr>
        <w:pStyle w:val="Compact"/>
      </w:pPr>
      <w:r>
        <w:t xml:space="preserve">Illustrative Transport Mode: Ocean Freight (Container Ship).</w:t>
      </w:r>
    </w:p>
    <w:p>
      <w:pPr>
        <w:numPr>
          <w:ilvl w:val="1"/>
          <w:numId w:val="1013"/>
        </w:numPr>
        <w:pStyle w:val="Compact"/>
      </w:pPr>
      <w:r>
        <w:t xml:space="preserve">Illustrative Transport Distance: 10,000 km (hfyzdjkmiv).</w:t>
      </w:r>
    </w:p>
    <w:p>
      <w:pPr>
        <w:numPr>
          <w:ilvl w:val="1"/>
          <w:numId w:val="1013"/>
        </w:numPr>
        <w:pStyle w:val="Compact"/>
      </w:pPr>
      <w:r>
        <w:t xml:space="preserve">Emissions: (0.95 kg / 1000 kg/tonne) * 10,000 km * 0.016 kg CO2e/tkm =</w:t>
      </w:r>
      <w:r>
        <w:t xml:space="preserve"> </w:t>
      </w:r>
      <w:r>
        <w:rPr>
          <w:bCs/>
          <w:b/>
        </w:rPr>
        <w:t xml:space="preserve">0.152 kg CO2e/unit</w:t>
      </w:r>
      <w:r>
        <w:t xml:space="preserve"> </w:t>
      </w:r>
      <w:r>
        <w:t xml:space="preserve">[6]</w:t>
      </w:r>
    </w:p>
    <w:bookmarkEnd w:id="31"/>
    <w:bookmarkStart w:id="32" w:name="downstream-emissions-categories-9-15"/>
    <w:p>
      <w:pPr>
        <w:pStyle w:val="Heading4"/>
      </w:pPr>
      <w:r>
        <w:t xml:space="preserve">4.3.2. Downstream Emissions (Categories 9-15)</w:t>
      </w:r>
    </w:p>
    <w:p>
      <w:pPr>
        <w:numPr>
          <w:ilvl w:val="0"/>
          <w:numId w:val="1014"/>
        </w:numPr>
        <w:pStyle w:val="Compact"/>
      </w:pPr>
      <w:r>
        <w:rPr>
          <w:bCs/>
          <w:b/>
        </w:rPr>
        <w:t xml:space="preserve">Transportation and Distribution (Category 9 - Last-Mile):</w:t>
      </w:r>
      <w:r>
        <w:t xml:space="preserve"> </w:t>
      </w:r>
      <w:r>
        <w:t xml:space="preserve">[10]</w:t>
      </w:r>
    </w:p>
    <w:p>
      <w:pPr>
        <w:numPr>
          <w:ilvl w:val="1"/>
          <w:numId w:val="1015"/>
        </w:numPr>
        <w:pStyle w:val="Compact"/>
      </w:pPr>
      <w:r>
        <w:t xml:space="preserve">Illustrative Product Weight: 0.95 kg/unit.</w:t>
      </w:r>
    </w:p>
    <w:p>
      <w:pPr>
        <w:numPr>
          <w:ilvl w:val="1"/>
          <w:numId w:val="1015"/>
        </w:numPr>
        <w:pStyle w:val="Compact"/>
      </w:pPr>
      <w:r>
        <w:t xml:space="preserve">Illustrative Transport Mode: Parcel Delivery Van.</w:t>
      </w:r>
    </w:p>
    <w:p>
      <w:pPr>
        <w:numPr>
          <w:ilvl w:val="1"/>
          <w:numId w:val="1015"/>
        </w:numPr>
        <w:pStyle w:val="Compact"/>
      </w:pPr>
      <w:r>
        <w:t xml:space="preserve">Illustrative Transport Distance: 200 km (part of hfyzdjkmiv, or separate assumption for last-mile).</w:t>
      </w:r>
    </w:p>
    <w:p>
      <w:pPr>
        <w:numPr>
          <w:ilvl w:val="1"/>
          <w:numId w:val="1015"/>
        </w:numPr>
        <w:pStyle w:val="Compact"/>
      </w:pPr>
      <w:r>
        <w:t xml:space="preserve">Emissions: (0.95 kg / 1000 kg/tonne) * 200 km * 0.1 kg CO2e/tkm =</w:t>
      </w:r>
      <w:r>
        <w:t xml:space="preserve"> </w:t>
      </w:r>
      <w:r>
        <w:rPr>
          <w:bCs/>
          <w:b/>
        </w:rPr>
        <w:t xml:space="preserve">0.019 kg CO2e/unit</w:t>
      </w:r>
      <w:r>
        <w:t xml:space="preserve"> </w:t>
      </w:r>
      <w:r>
        <w:t xml:space="preserve">[15, 20]</w:t>
      </w:r>
    </w:p>
    <w:p>
      <w:pPr>
        <w:numPr>
          <w:ilvl w:val="0"/>
          <w:numId w:val="1014"/>
        </w:numPr>
        <w:pStyle w:val="Compact"/>
      </w:pPr>
      <w:r>
        <w:rPr>
          <w:bCs/>
          <w:b/>
        </w:rPr>
        <w:t xml:space="preserve">Use of Sold Products (Category 11):</w:t>
      </w:r>
      <w:r>
        <w:t xml:space="preserve"> </w:t>
      </w:r>
      <w:r>
        <w:t xml:space="preserve">[10]</w:t>
      </w:r>
    </w:p>
    <w:p>
      <w:pPr>
        <w:numPr>
          <w:ilvl w:val="1"/>
          <w:numId w:val="1016"/>
        </w:numPr>
        <w:pStyle w:val="Compact"/>
      </w:pPr>
      <w:r>
        <w:t xml:space="preserve">Product Lifespan: 5 years (illustrative `flshxeyvgg`)</w:t>
      </w:r>
    </w:p>
    <w:p>
      <w:pPr>
        <w:numPr>
          <w:ilvl w:val="1"/>
          <w:numId w:val="1016"/>
        </w:numPr>
        <w:pStyle w:val="Compact"/>
      </w:pPr>
      <w:r>
        <w:t xml:space="preserve">Energy Consumption in Use: 20 kWh/year (illustrative `opktlodwto`)</w:t>
      </w:r>
    </w:p>
    <w:p>
      <w:pPr>
        <w:numPr>
          <w:ilvl w:val="1"/>
          <w:numId w:val="1016"/>
        </w:numPr>
        <w:pStyle w:val="Compact"/>
      </w:pPr>
      <w:r>
        <w:t xml:space="preserve">Total energy over lifespan: 20 kWh/year * 5 years = 100 kWh/unit</w:t>
      </w:r>
    </w:p>
    <w:p>
      <w:pPr>
        <w:numPr>
          <w:ilvl w:val="1"/>
          <w:numId w:val="1016"/>
        </w:numPr>
        <w:pStyle w:val="Compact"/>
      </w:pPr>
      <w:r>
        <w:t xml:space="preserve">Emissions: 100 kWh/unit * 0.20 kg CO2e/kWh (Europe average) =</w:t>
      </w:r>
      <w:r>
        <w:t xml:space="preserve"> </w:t>
      </w:r>
      <w:r>
        <w:rPr>
          <w:bCs/>
          <w:b/>
        </w:rPr>
        <w:t xml:space="preserve">20.0 kg CO2e/unit</w:t>
      </w:r>
      <w:r>
        <w:t xml:space="preserve"> </w:t>
      </w:r>
      <w:r>
        <w:t xml:space="preserve">[27, 35, 38]</w:t>
      </w:r>
    </w:p>
    <w:p>
      <w:pPr>
        <w:numPr>
          <w:ilvl w:val="0"/>
          <w:numId w:val="1014"/>
        </w:numPr>
        <w:pStyle w:val="Compact"/>
      </w:pPr>
      <w:r>
        <w:rPr>
          <w:bCs/>
          <w:b/>
        </w:rPr>
        <w:t xml:space="preserve">End-of-Life Treatment of Sold Products (Category 12):</w:t>
      </w:r>
      <w:r>
        <w:t xml:space="preserve"> </w:t>
      </w:r>
      <w:r>
        <w:t xml:space="preserve">[10]</w:t>
      </w:r>
    </w:p>
    <w:p>
      <w:pPr>
        <w:numPr>
          <w:ilvl w:val="1"/>
          <w:numId w:val="1017"/>
        </w:numPr>
        <w:pStyle w:val="Compact"/>
      </w:pPr>
      <w:r>
        <w:t xml:space="preserve">Illustrative Product Weight: 0.95 kg/unit.</w:t>
      </w:r>
    </w:p>
    <w:p>
      <w:pPr>
        <w:numPr>
          <w:ilvl w:val="1"/>
          <w:numId w:val="1017"/>
        </w:numPr>
        <w:pStyle w:val="Compact"/>
      </w:pPr>
      <w:r>
        <w:t xml:space="preserve">Recyclability Percentage: 70% (illustrative `dmgjoypxrl`)</w:t>
      </w:r>
    </w:p>
    <w:p>
      <w:pPr>
        <w:numPr>
          <w:ilvl w:val="1"/>
          <w:numId w:val="1017"/>
        </w:numPr>
        <w:pStyle w:val="Compact"/>
      </w:pPr>
      <w:r>
        <w:t xml:space="preserve">Waste to landfill/incineration: 0.95 kg * (1 - 0.70) = 0.285 kg/unit</w:t>
      </w:r>
    </w:p>
    <w:p>
      <w:pPr>
        <w:numPr>
          <w:ilvl w:val="1"/>
          <w:numId w:val="1017"/>
        </w:numPr>
        <w:pStyle w:val="Compact"/>
      </w:pPr>
      <w:r>
        <w:t xml:space="preserve">Recycled: 0.95 kg * 0.70 = 0.665 kg/unit</w:t>
      </w:r>
    </w:p>
    <w:p>
      <w:pPr>
        <w:numPr>
          <w:ilvl w:val="1"/>
          <w:numId w:val="1017"/>
        </w:numPr>
        <w:pStyle w:val="Compact"/>
      </w:pPr>
      <w:r>
        <w:t xml:space="preserve">Landfill/Incineration emissions: 0.285 kg * 0.5 kg CO2e/kg = 0.1425 kg CO2e/unit [17, 34, 40, 41]</w:t>
      </w:r>
    </w:p>
    <w:p>
      <w:pPr>
        <w:numPr>
          <w:ilvl w:val="1"/>
          <w:numId w:val="1017"/>
        </w:numPr>
        <w:pStyle w:val="Compact"/>
      </w:pPr>
      <w:r>
        <w:t xml:space="preserve">Recycling benefit: 0.665 kg * (-0.5 kg CO2e/kg) = -0.3325 kg CO2e/unit [17]</w:t>
      </w:r>
    </w:p>
    <w:p>
      <w:pPr>
        <w:numPr>
          <w:ilvl w:val="1"/>
          <w:numId w:val="1017"/>
        </w:numPr>
        <w:pStyle w:val="Compact"/>
      </w:pPr>
      <w:r>
        <w:rPr>
          <w:bCs/>
          <w:b/>
        </w:rPr>
        <w:t xml:space="preserve">Total End-of-Life Emissions:</w:t>
      </w:r>
      <w:r>
        <w:t xml:space="preserve"> </w:t>
      </w:r>
      <w:r>
        <w:t xml:space="preserve">0.1425 - 0.3325 =</w:t>
      </w:r>
      <w:r>
        <w:t xml:space="preserve"> </w:t>
      </w:r>
      <w:r>
        <w:rPr>
          <w:bCs/>
          <w:b/>
        </w:rPr>
        <w:t xml:space="preserve">-0.19 kg CO2e/unit</w:t>
      </w:r>
      <w:r>
        <w:t xml:space="preserve"> </w:t>
      </w:r>
      <w:r>
        <w:t xml:space="preserve">(Net benefit due to high recycling rate)</w:t>
      </w:r>
    </w:p>
    <w:bookmarkEnd w:id="32"/>
    <w:bookmarkEnd w:id="33"/>
    <w:bookmarkStart w:id="34" w:name="X7ef73fe3d39a8d84fae696b42f814aa0d860ec0"/>
    <w:p>
      <w:pPr>
        <w:pStyle w:val="Heading3"/>
      </w:pPr>
      <w:r>
        <w:t xml:space="preserve">4.4. 2026 LSR Update (Land Sector and Removals Standard)</w:t>
      </w:r>
    </w:p>
    <w:p>
      <w:pPr>
        <w:pStyle w:val="FirstParagraph"/>
      </w:pPr>
      <w:r>
        <w:t xml:space="preserve">The 2026 LSR Standard is applied to account for any land use change emissions or carbon removals</w:t>
      </w:r>
      <w:r>
        <w:t xml:space="preserve"> </w:t>
      </w:r>
      <w:r>
        <w:t xml:space="preserve">associated with \'dsdsmnsmmk\'. [5, 8, 9, 12, 14] While specific land-use data was not provided in the parameters,</w:t>
      </w:r>
      <w:r>
        <w:t xml:space="preserve"> </w:t>
      </w:r>
      <w:r>
        <w:t xml:space="preserve">it is crucial to acknowledge its consideration. The standard, effective January 1, 2027, provides guidance for quantifying,</w:t>
      </w:r>
      <w:r>
        <w:t xml:space="preserve"> </w:t>
      </w:r>
      <w:r>
        <w:t xml:space="preserve">reporting, and tracking land emissions, CO₂ removals, and technological removals. [5, 8] For this product, assuming no direct biogenic</w:t>
      </w:r>
      <w:r>
        <w:t xml:space="preserve"> </w:t>
      </w:r>
      <w:r>
        <w:t xml:space="preserve">carbon sources or significant land-use change in manufacturing, the primary application would be</w:t>
      </w:r>
      <w:r>
        <w:t xml:space="preserve"> </w:t>
      </w:r>
      <w:r>
        <w:t xml:space="preserve">related to the bio-based content in packaging (e.g., cardboard) and its end-of-life fate, or</w:t>
      </w:r>
      <w:r>
        <w:t xml:space="preserve"> </w:t>
      </w:r>
      <w:r>
        <w:t xml:space="preserve">potential carbon sequestration in packaging if it were sourced from sustainably managed forests</w:t>
      </w:r>
      <w:r>
        <w:t xml:space="preserve"> </w:t>
      </w:r>
      <w:r>
        <w:t xml:space="preserve">with removals verified. Without explicit data, no specific numerical LSR impact is calculated</w:t>
      </w:r>
      <w:r>
        <w:t xml:space="preserve"> </w:t>
      </w:r>
      <w:r>
        <w:t xml:space="preserve">here, but its importance for future detailed analysis is noted.</w:t>
      </w:r>
    </w:p>
    <w:bookmarkEnd w:id="34"/>
    <w:bookmarkStart w:id="35" w:name="Xf64d3a6aaa05d57136cabc8089cbb99dd7ca1a4"/>
    <w:p>
      <w:pPr>
        <w:pStyle w:val="Heading3"/>
      </w:pPr>
      <w:r>
        <w:t xml:space="preserve">4.5. Summary of Emissions by Scope (Illustrative)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 from Owned/Controlled Sources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Production</w:t>
            </w:r>
          </w:p>
        </w:tc>
        <w:tc>
          <w:tcPr/>
          <w:p>
            <w:pPr>
              <w:pStyle w:val="Compact"/>
              <w:jc w:val="left"/>
            </w:pPr>
            <w:r>
              <w:t xml:space="preserve">3.05</w:t>
            </w:r>
          </w:p>
        </w:tc>
      </w:tr>
      <w:tr>
        <w:tc>
          <w:tcPr>
            <w:vMerge w:val="restart"/>
          </w:tcPr>
          <w:p>
            <w:pPr>
              <w:pStyle w:val="Compact"/>
              <w:jc w:val="left"/>
            </w:pPr>
            <w:r>
              <w:t xml:space="preserve">Scope 3</w:t>
            </w:r>
          </w:p>
        </w:tc>
        <w:tc>
          <w:tcPr/>
          <w:p>
            <w:pPr>
              <w:pStyle w:val="Compact"/>
              <w:jc w:val="left"/>
            </w:pPr>
            <w:r>
              <w:t xml:space="preserve">1: Purchased Goods and Services (Materials)</w:t>
            </w:r>
          </w:p>
        </w:tc>
        <w:tc>
          <w:tcPr/>
          <w:p>
            <w:pPr>
              <w:pStyle w:val="Compact"/>
              <w:jc w:val="left"/>
            </w:pPr>
            <w:r>
              <w:t xml:space="preserve">9.425</w:t>
            </w:r>
          </w:p>
        </w:tc>
      </w:tr>
      <w:tr>
        <w:tc>
          <w:tcPr>
            <w:gridSpan w:val="1"/>
            <w:vMerge w:val="continue"/>
          </w:tcPr>
          <w:p>
            <w:pPr/>
          </w:p>
        </w:tc>
        <w:tc>
          <w:tcPr/>
          <w:p>
            <w:pPr>
              <w:pStyle w:val="Compact"/>
              <w:jc w:val="left"/>
            </w:pPr>
            <w:r>
              <w:t xml:space="preserve">4: Upstream Transportation and Distribution (Illustrative)</w:t>
            </w:r>
          </w:p>
        </w:tc>
        <w:tc>
          <w:tcPr/>
          <w:p>
            <w:pPr>
              <w:pStyle w:val="Compact"/>
              <w:jc w:val="left"/>
            </w:pPr>
            <w:r>
              <w:t xml:space="preserve">0.152</w:t>
            </w:r>
          </w:p>
        </w:tc>
      </w:tr>
      <w:tr>
        <w:tc>
          <w:tcPr>
            <w:gridSpan w:val="1"/>
            <w:vMerge w:val="continue"/>
          </w:tcPr>
          <w:p>
            <w:pPr/>
          </w:p>
        </w:tc>
        <w:tc>
          <w:tcPr/>
          <w:p>
            <w:pPr>
              <w:pStyle w:val="Compact"/>
              <w:jc w:val="left"/>
            </w:pPr>
            <w:r>
              <w:t xml:space="preserve">9: Downstream Transportation and Distribution (Last-Mile Illustrative)</w:t>
            </w:r>
          </w:p>
        </w:tc>
        <w:tc>
          <w:tcPr/>
          <w:p>
            <w:pPr>
              <w:pStyle w:val="Compact"/>
              <w:jc w:val="left"/>
            </w:pPr>
            <w:r>
              <w:t xml:space="preserve">0.019</w:t>
            </w:r>
          </w:p>
        </w:tc>
      </w:tr>
      <w:tr>
        <w:tc>
          <w:tcPr>
            <w:gridSpan w:val="1"/>
            <w:vMerge w:val="continue"/>
          </w:tcPr>
          <w:p>
            <w:pPr/>
          </w:p>
        </w:tc>
        <w:tc>
          <w:tcPr/>
          <w:p>
            <w:pPr>
              <w:pStyle w:val="Compact"/>
              <w:jc w:val="left"/>
            </w:pPr>
            <w:r>
              <w:t xml:space="preserve">11: Use of Sold Products</w:t>
            </w:r>
          </w:p>
        </w:tc>
        <w:tc>
          <w:tcPr/>
          <w:p>
            <w:pPr>
              <w:pStyle w:val="Compact"/>
              <w:jc w:val="left"/>
            </w:pPr>
            <w:r>
              <w:t xml:space="preserve">20.00</w:t>
            </w:r>
          </w:p>
        </w:tc>
      </w:tr>
      <w:tr>
        <w:tc>
          <w:tcPr>
            <w:gridSpan w:val="1"/>
            <w:vMerge w:val="continue"/>
          </w:tcPr>
          <w:p>
            <w:pPr/>
          </w:p>
        </w:tc>
        <w:tc>
          <w:tcPr/>
          <w:p>
            <w:pPr>
              <w:pStyle w:val="Compact"/>
              <w:jc w:val="left"/>
            </w:pPr>
            <w:r>
              <w:t xml:space="preserve">12: End-of-Life Treatment of Sold Products</w:t>
            </w:r>
          </w:p>
        </w:tc>
        <w:tc>
          <w:tcPr/>
          <w:p>
            <w:pPr>
              <w:pStyle w:val="Compact"/>
              <w:jc w:val="left"/>
            </w:pPr>
            <w:r>
              <w:t xml:space="preserve">-0.19</w:t>
            </w:r>
          </w:p>
        </w:tc>
      </w:tr>
    </w:tbl>
    <w:p>
      <w:pPr>
        <w:pStyle w:val="BodyText"/>
      </w:pPr>
      <w:r>
        <w:rPr>
          <w:bCs/>
          <w:b/>
        </w:rPr>
        <w:t xml:space="preserve">Total Illustrative Product Carbon Footprint (Cradle-to-Grave):</w:t>
      </w:r>
      <w:r>
        <w:t xml:space="preserve"> </w:t>
      </w:r>
      <w:r>
        <w:t xml:space="preserve">0.00 + 3.05 + 9.425 + 0.152 + 0.019 + 20.00 - 0.19 =</w:t>
      </w:r>
      <w:r>
        <w:t xml:space="preserve"> </w:t>
      </w:r>
      <w:r>
        <w:rPr>
          <w:bCs/>
          <w:b/>
        </w:rPr>
        <w:t xml:space="preserve">32.456 kg CO2e/unit</w:t>
      </w:r>
    </w:p>
    <w:p>
      <w:pPr>
        <w:pStyle w:val="BodyText"/>
      </w:pPr>
      <w:r>
        <w:rPr>
          <w:bCs/>
          <w:b/>
        </w:rPr>
        <w:t xml:space="preserve">Note on Scope 3 Compliance:</w:t>
      </w:r>
      <w:r>
        <w:t xml:space="preserve"> </w:t>
      </w:r>
      <w:r>
        <w:t xml:space="preserve">The analysis for Scope 3 aims for at least 95% coverage</w:t>
      </w:r>
      <w:r>
        <w:t xml:space="preserve"> </w:t>
      </w:r>
      <w:r>
        <w:t xml:space="preserve">as per 2026 requirements, incorporating all significant upstream and downstream categories for which data is available or can be estimated. [3]</w:t>
      </w:r>
    </w:p>
    <w:p>
      <w:r>
        <w:pict>
          <v:rect style="width:0;height:1.5pt" o:hralign="center" o:hrstd="t" o:hr="t"/>
        </w:pict>
      </w:r>
    </w:p>
    <w:bookmarkEnd w:id="35"/>
    <w:bookmarkEnd w:id="36"/>
    <w:bookmarkStart w:id="40" w:name="review-report"/>
    <w:p>
      <w:pPr>
        <w:pStyle w:val="Heading2"/>
      </w:pPr>
      <w:r>
        <w:t xml:space="preserve">5. Review &amp; Report</w:t>
      </w:r>
    </w:p>
    <w:bookmarkStart w:id="37" w:name="emission-hotspots"/>
    <w:p>
      <w:pPr>
        <w:pStyle w:val="Heading3"/>
      </w:pPr>
      <w:r>
        <w:t xml:space="preserve">5.1. Emission Hotspots</w:t>
      </w:r>
    </w:p>
    <w:p>
      <w:pPr>
        <w:pStyle w:val="FirstParagraph"/>
      </w:pPr>
      <w:r>
        <w:t xml:space="preserve">Based on the illustrative calculations, the primary emission hotspots for \'dsdsmnsmmk\' are:</w:t>
      </w:r>
    </w:p>
    <w:p>
      <w:pPr>
        <w:numPr>
          <w:ilvl w:val="0"/>
          <w:numId w:val="1018"/>
        </w:numPr>
        <w:pStyle w:val="Compact"/>
      </w:pPr>
      <w:r>
        <w:rPr>
          <w:bCs/>
          <w:b/>
        </w:rPr>
        <w:t xml:space="preserve">Use of Sold Products (Category 11):</w:t>
      </w:r>
      <w:r>
        <w:t xml:space="preserve"> </w:t>
      </w:r>
      <w:r>
        <w:t xml:space="preserve">This is the largest contributor (20.0 kg CO2e/unit), highlighting the significant impact of electricity consumption during the product\'s 5-year lifespan.</w:t>
      </w:r>
    </w:p>
    <w:p>
      <w:pPr>
        <w:numPr>
          <w:ilvl w:val="0"/>
          <w:numId w:val="1018"/>
        </w:numPr>
        <w:pStyle w:val="Compact"/>
      </w:pPr>
      <w:r>
        <w:rPr>
          <w:bCs/>
          <w:b/>
        </w:rPr>
        <w:t xml:space="preserve">Purchased Goods and Services (Materials - Category 1):</w:t>
      </w:r>
      <w:r>
        <w:t xml:space="preserve"> </w:t>
      </w:r>
      <w:r>
        <w:t xml:space="preserve">Materials, particularly the aluminum casing and circuit board, contribute significantly (9.425 kg CO2e/unit) to the upstream footprint.</w:t>
      </w:r>
    </w:p>
    <w:p>
      <w:pPr>
        <w:numPr>
          <w:ilvl w:val="0"/>
          <w:numId w:val="1018"/>
        </w:numPr>
        <w:pStyle w:val="Compact"/>
      </w:pPr>
      <w:r>
        <w:rPr>
          <w:bCs/>
          <w:b/>
        </w:rPr>
        <w:t xml:space="preserve">Purchased Electricity (Scope 2):</w:t>
      </w:r>
      <w:r>
        <w:t xml:space="preserve"> </w:t>
      </w:r>
      <w:r>
        <w:t xml:space="preserve">Production energy accounts for 3.05 kg CO2e/unit, indicating that while renewable energy is used, there\'s still a substantial grid dependency.</w:t>
      </w:r>
    </w:p>
    <w:p>
      <w:pPr>
        <w:numPr>
          <w:ilvl w:val="0"/>
          <w:numId w:val="1018"/>
        </w:numPr>
        <w:pStyle w:val="Compact"/>
      </w:pPr>
      <w:r>
        <w:t xml:space="preserve">Transportation, both upstream and last-mile, contributes a smaller but notable portion of emissions.</w:t>
      </w:r>
    </w:p>
    <w:bookmarkEnd w:id="37"/>
    <w:bookmarkStart w:id="38" w:name="reliability-and-limitations"/>
    <w:p>
      <w:pPr>
        <w:pStyle w:val="Heading3"/>
      </w:pPr>
      <w:r>
        <w:t xml:space="preserve">5.2. Reliability and Limitations</w:t>
      </w:r>
    </w:p>
    <w:p>
      <w:pPr>
        <w:pStyle w:val="FirstParagraph"/>
      </w:pPr>
      <w:r>
        <w:t xml:space="preserve">The reliability of this PCF analysis is contingent upon the accuracy and completeness of the</w:t>
      </w:r>
      <w:r>
        <w:t xml:space="preserve"> </w:t>
      </w:r>
      <w:r>
        <w:t xml:space="preserve">input data. The material impact calculation benefits from the specific emission factors provided</w:t>
      </w:r>
      <w:r>
        <w:t xml:space="preserve"> </w:t>
      </w:r>
      <w:r>
        <w:t xml:space="preserve">in the detailed BOM. However, for parameters like \'Transport Distance: hfyzdjkmiv\', \'Energy Intensity: rgrvqdlylk\',</w:t>
      </w:r>
      <w:r>
        <w:t xml:space="preserve"> </w:t>
      </w:r>
      <w:r>
        <w:t xml:space="preserve">\'Product Lifespan: flshxeyvgg\', \'Energy Consumption in Use: opktlodwto\', and \'Recyclability Percentage: dmgjoypxrl\',</w:t>
      </w:r>
      <w:r>
        <w:t xml:space="preserve"> </w:t>
      </w:r>
      <w:r>
        <w:t xml:space="preserve">illustrative numerical values were employed for the calculation phase due to the input being a placeholder string.</w:t>
      </w:r>
      <w:r>
        <w:t xml:space="preserve"> </w:t>
      </w:r>
      <w:r>
        <w:t xml:space="preserve">A more precise calculation would require specific numerical data for these parameters.</w:t>
      </w:r>
      <w:r>
        <w:t xml:space="preserve"> </w:t>
      </w:r>
      <w:r>
        <w:t xml:space="preserve">Secondary data from databases like Ecoinvent and DEFRA have been used for generic emission factors</w:t>
      </w:r>
      <w:r>
        <w:t xml:space="preserve"> </w:t>
      </w:r>
      <w:r>
        <w:t xml:space="preserve">where primary data was not available (e.g., transport modes, EoL processes).</w:t>
      </w:r>
    </w:p>
    <w:bookmarkEnd w:id="38"/>
    <w:bookmarkStart w:id="39" w:name="recommendations-for-improvement"/>
    <w:p>
      <w:pPr>
        <w:pStyle w:val="Heading3"/>
      </w:pPr>
      <w:r>
        <w:t xml:space="preserve">5.3. Recommendations for Improvement</w:t>
      </w:r>
    </w:p>
    <w:p>
      <w:pPr>
        <w:numPr>
          <w:ilvl w:val="0"/>
          <w:numId w:val="1019"/>
        </w:numPr>
        <w:pStyle w:val="Compact"/>
      </w:pPr>
      <w:r>
        <w:rPr>
          <w:bCs/>
          <w:b/>
        </w:rPr>
        <w:t xml:space="preserve">Reduce Use Phase Energy Consumption:</w:t>
      </w:r>
      <w:r>
        <w:t xml:space="preserve"> </w:t>
      </w:r>
      <w:r>
        <w:t xml:space="preserve">Focus on designing more energy-efficient products. Exploring low-power modes, optimizing operational efficiency, and encouraging the use of renewable energy sources by end-users are critical.</w:t>
      </w:r>
    </w:p>
    <w:p>
      <w:pPr>
        <w:numPr>
          <w:ilvl w:val="0"/>
          <w:numId w:val="1019"/>
        </w:numPr>
        <w:pStyle w:val="Compact"/>
      </w:pPr>
      <w:r>
        <w:rPr>
          <w:bCs/>
          <w:b/>
        </w:rPr>
        <w:t xml:space="preserve">Optimize Material Selection and Design:</w:t>
      </w:r>
      <w:r>
        <w:t xml:space="preserve"> </w:t>
      </w:r>
      <w:r>
        <w:t xml:space="preserve">Investigate alternative, lower-carbon materials for the aluminum casing and circuit board. Design for disassembly and modularity to facilitate repair and material recovery.</w:t>
      </w:r>
    </w:p>
    <w:p>
      <w:pPr>
        <w:numPr>
          <w:ilvl w:val="0"/>
          <w:numId w:val="1019"/>
        </w:numPr>
        <w:pStyle w:val="Compact"/>
      </w:pPr>
      <w:r>
        <w:rPr>
          <w:bCs/>
          <w:b/>
        </w:rPr>
        <w:t xml:space="preserve">Enhance Circularity:</w:t>
      </w:r>
      <w:r>
        <w:t xml:space="preserve"> </w:t>
      </w:r>
      <w:r>
        <w:t xml:space="preserve">Leverage the "Yes, established take-back scheme" (`qohhllzlxk`) to maximize actual recycling rates and explore opportunities for repair, refurbishment, and remanufacturing to extend product lifespans and further reduce virgin material demand.</w:t>
      </w:r>
    </w:p>
    <w:p>
      <w:pPr>
        <w:numPr>
          <w:ilvl w:val="0"/>
          <w:numId w:val="1019"/>
        </w:numPr>
        <w:pStyle w:val="Compact"/>
      </w:pPr>
      <w:r>
        <w:rPr>
          <w:bCs/>
          <w:b/>
        </w:rPr>
        <w:t xml:space="preserve">Decarbonize Production Energy:</w:t>
      </w:r>
      <w:r>
        <w:t xml:space="preserve"> </w:t>
      </w:r>
      <w:r>
        <w:t xml:space="preserve">Increase the percentage of renewable energy usage beyond the current grssntzzxr (illustrative 50%) at the production facility in China to further reduce Scope 2 emissions.</w:t>
      </w:r>
    </w:p>
    <w:p>
      <w:pPr>
        <w:numPr>
          <w:ilvl w:val="0"/>
          <w:numId w:val="1019"/>
        </w:numPr>
        <w:pStyle w:val="Compact"/>
      </w:pPr>
      <w:r>
        <w:rPr>
          <w:bCs/>
          <w:b/>
        </w:rPr>
        <w:t xml:space="preserve">Optimize Logistics:</w:t>
      </w:r>
      <w:r>
        <w:t xml:space="preserve"> </w:t>
      </w:r>
      <w:r>
        <w:t xml:space="preserve">Evaluate opportunities for optimizing transport routes, consolidating shipments, and shifting to lower-emission transport modes where feasible, especially for long-distance inbound logistics from Europe.</w:t>
      </w:r>
    </w:p>
    <w:p>
      <w:r>
        <w:pict>
          <v:rect style="width:0;height:1.5pt" o:hralign="center" o:hrstd="t" o:hr="t"/>
        </w:pict>
      </w:r>
    </w:p>
    <w:p>
      <w:pPr>
        <w:pStyle w:val="FirstParagraph"/>
      </w:pPr>
      <w:r>
        <w:t xml:space="preserve">Confidential - Internal Use Only</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dsdsmnsmmk</dc:title>
  <dc:creator/>
  <dc:description>Detailed Product Carbon Footprint (PCF) analysis report for dsdsmnsmmk, performed by rrqeyjmuig for rvxispqmyv, adhering to GHG Protocol and 2026 LSR Update.</dc:description>
  <dc:language>en</dc:language>
  <cp:keywords/>
  <dcterms:created xsi:type="dcterms:W3CDTF">2026-07-15T03:38:24Z</dcterms:created>
  <dcterms:modified xsi:type="dcterms:W3CDTF">2026-07-15T03:38:24Z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