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dqlgljwpyt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dqlgljwpyt</w:t>
      </w:r>
    </w:p>
    <w:p>
      <w:pPr>
        <w:pStyle w:val="BodyText"/>
      </w:pPr>
      <w:r>
        <w:rPr>
          <w:bCs/>
          <w:b/>
        </w:rPr>
        <w:t xml:space="preserve">Company Name:</w:t>
      </w:r>
      <w:r>
        <w:t xml:space="preserve"> </w:t>
      </w:r>
      <w:r>
        <w:t xml:space="preserve">vveifsrrev</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gryypdnwil</w:t>
      </w:r>
    </w:p>
    <w:p>
      <w:pPr>
        <w:pStyle w:val="BodyText"/>
      </w:pPr>
      <w:r>
        <w:t xml:space="preserve">Disclaimer: This report is generated based on available data and industry standards, including specific parameters provided. While efforts have been made to ensure accuracy, the actual carbon footprint may vary based on real-world operational nuances, data limitations, and evolving methodologies. It serves as a strategic assessment and guide for sustainability improvements.</w:t>
      </w:r>
    </w:p>
    <w:bookmarkEnd w:id="20"/>
    <w:bookmarkStart w:id="21" w:name="X1763e66843471efeeda9cf1a8cf645c25f245f2"/>
    <w:p>
      <w:pPr>
        <w:pStyle w:val="Heading1"/>
      </w:pPr>
      <w:r>
        <w:t xml:space="preserve">Product Carbon Footprint Analysis for dqlgljwpyt</w:t>
      </w:r>
    </w:p>
    <w:p>
      <w:pPr>
        <w:pStyle w:val="FirstParagraph"/>
      </w:pPr>
      <w:r>
        <w:t xml:space="preserve">Generated Date: May 20,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dqlgljwpyt, manufactured by vveifsrrev. The assessment adheres strictly to the GHG Protocol standards, incorporating the 2026 Land Sector and Removals (LSR) update and ensuring over 95% Scope 3 coverage. Conducted by gryypdnwil, Senior Sustainability Consultant, this analysis provides a comprehensive overview of greenhouse gas emissions across the product\'s lifecycle, from raw material extraction to end-of-life, identifying key hotspots and offering strategic insights for carbon reduction. The total calculated Product Carbon Footprint for dqlgljwpyt is</w:t>
      </w:r>
      <w:r>
        <w:t xml:space="preserve"> </w:t>
      </w:r>
      <w:r>
        <w:rPr>
          <w:bCs/>
          <w:b/>
        </w:rPr>
        <w:t xml:space="preserve">[Calculated Total PCF] kg CO2e</w:t>
      </w:r>
      <w:r>
        <w:t xml:space="preserve"> </w:t>
      </w:r>
      <w:r>
        <w:t xml:space="preserve">per functional unit.</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dqlgljwpyt follows a robust five-step methodology in accordance with the GHG Protocol Product Standard. This approach ensures a systematic and comprehensive assessment of greenhouse gas emissions throughout the product\'s lifecycle.</w:t>
      </w:r>
    </w:p>
    <w:bookmarkStart w:id="23" w:name="accounting-standard"/>
    <w:p>
      <w:pPr>
        <w:pStyle w:val="Heading3"/>
      </w:pPr>
      <w:r>
        <w:t xml:space="preserve">1.1. Accounting Standard</w:t>
      </w:r>
    </w:p>
    <w:p>
      <w:pPr>
        <w:pStyle w:val="FirstParagraph"/>
      </w:pPr>
      <w:r>
        <w:t xml:space="preserve">This analysis strictly adheres to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across the value chain). Furthermore, the analysis incorporates the</w:t>
      </w:r>
      <w:r>
        <w:t xml:space="preserve"> </w:t>
      </w:r>
      <w:r>
        <w:rPr>
          <w:bCs/>
          <w:b/>
        </w:rPr>
        <w:t xml:space="preserve">2026 Land Sector and Removals (LSR) Standard</w:t>
      </w:r>
      <w:r>
        <w:t xml:space="preserve">, addressing land use change and carbon removal activities where applicable within the product\'s lifecycle. A critical focus has been placed on achieving at least 95% coverage for Scope 3 reporting, in line with 2026 requirements, to ensure a holistic view of value chain impacts.</w:t>
      </w:r>
    </w:p>
    <w:bookmarkEnd w:id="23"/>
    <w:bookmarkStart w:id="24" w:name="functional-unit"/>
    <w:p>
      <w:pPr>
        <w:pStyle w:val="Heading3"/>
      </w:pPr>
      <w:r>
        <w:t xml:space="preserve">1.2. Functional Unit</w:t>
      </w:r>
    </w:p>
    <w:p>
      <w:pPr>
        <w:pStyle w:val="FirstParagraph"/>
      </w:pPr>
      <w:r>
        <w:t xml:space="preserve">The functional unit for this PCF analysis is defined as</w:t>
      </w:r>
      <w:r>
        <w:t xml:space="preserve"> </w:t>
      </w:r>
      <w:r>
        <w:rPr>
          <w:bCs/>
          <w:b/>
        </w:rPr>
        <w:t xml:space="preserve">1.0 unit of dqlgljwpyt</w:t>
      </w:r>
      <w:r>
        <w:t xml:space="preserve">. This unit serves as the reference basis for quantifying all inputs, outputs, and associated environmental impacts throughout the product\'s life cycle.</w:t>
      </w:r>
    </w:p>
    <w:bookmarkEnd w:id="24"/>
    <w:bookmarkStart w:id="25" w:name="system-boundary"/>
    <w:p>
      <w:pPr>
        <w:pStyle w:val="Heading3"/>
      </w:pPr>
      <w:r>
        <w:t xml:space="preserve">1.3. System Boundary</w:t>
      </w:r>
    </w:p>
    <w:p>
      <w:pPr>
        <w:pStyle w:val="FirstParagraph"/>
      </w:pPr>
      <w:r>
        <w:t xml:space="preserve">The system boundary for this assessment is defined as</w:t>
      </w:r>
      <w:r>
        <w:t xml:space="preserve"> </w:t>
      </w:r>
      <w:r>
        <w:rPr>
          <w:bCs/>
          <w:b/>
        </w:rPr>
        <w:t xml:space="preserve">factory_gate</w:t>
      </w:r>
      <w:r>
        <w:t xml:space="preserve">. This signifies a \'Cradle-to-Gate\' scope, encompassing raw material acquisition, manufacturing, and transport up to the point the product leaves the factory gate. For a comprehensive PCF, elements beyond the factory gate, such as transport to customer, use phase, and end-of-life, are also analyzed as downstream Scope 3 emissions.</w:t>
      </w:r>
    </w:p>
    <w:bookmarkEnd w:id="25"/>
    <w:bookmarkStart w:id="26" w:name="geographic-scope"/>
    <w:p>
      <w:pPr>
        <w:pStyle w:val="Heading3"/>
      </w:pPr>
      <w:r>
        <w:t xml:space="preserve">1.4.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upstream and downstream logistics, and end-of-life scenarios).</w:t>
      </w:r>
    </w:p>
    <w:bookmarkEnd w:id="26"/>
    <w:bookmarkStart w:id="27" w:name="allocation"/>
    <w:p>
      <w:pPr>
        <w:pStyle w:val="Heading3"/>
      </w:pPr>
      <w:r>
        <w:t xml:space="preserve">1.5. Allocation</w:t>
      </w:r>
    </w:p>
    <w:p>
      <w:pPr>
        <w:pStyle w:val="FirstParagraph"/>
      </w:pPr>
      <w:r>
        <w:t xml:space="preserve">Given that this assessment focuses on a single product (dqlgljwpyt), direct allocation of emissions to the functional unit is applied. For any shared processes or facilities, emissions are allocated based on a relevant physical (e.g., mass, energy) or economic metric where appropriate.</w:t>
      </w:r>
    </w:p>
    <w:p>
      <w:r>
        <w:pict>
          <v:rect style="width:0;height:1.5pt" o:hralign="center" o:hrstd="t" o:hr="t"/>
        </w:pict>
      </w:r>
    </w:p>
    <w:bookmarkEnd w:id="27"/>
    <w:bookmarkEnd w:id="28"/>
    <w:bookmarkStart w:id="34" w:name="lifecycle-mapping-and-data-collection"/>
    <w:p>
      <w:pPr>
        <w:pStyle w:val="Heading2"/>
      </w:pPr>
      <w:r>
        <w:t xml:space="preserve">2. Lifecycle Mapping and Data Collection</w:t>
      </w:r>
    </w:p>
    <w:p>
      <w:pPr>
        <w:pStyle w:val="FirstParagraph"/>
      </w:pPr>
      <w:r>
        <w:t xml:space="preserve">The lifecycle of dqlgljwpyt is mapped through several stages, from raw material sourcing to end-of-life. Data collection involved leveraging specific parameters provided, combined with industry-standard emission factors from reputable databases.</w:t>
      </w:r>
    </w:p>
    <w:bookmarkStart w:id="29" w:name="bill-of-materials-bom-for-dqlgljwpyt"/>
    <w:p>
      <w:pPr>
        <w:pStyle w:val="Heading3"/>
      </w:pPr>
      <w:r>
        <w:t xml:space="preserve">2.1. Bill of Materials (BOM) for dqlgljwpyt</w:t>
      </w:r>
    </w:p>
    <w:p>
      <w:pPr>
        <w:pStyle w:val="FirstParagraph"/>
      </w:pPr>
      <w:r>
        <w:t xml:space="preserve">The following detailed Bill of Materials (BOM) was used for high-accuracy material impact calculation. Emission factors are representative values based on Ecoinvent/DEFRA databases.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150</w:t>
            </w:r>
          </w:p>
        </w:tc>
        <w:tc>
          <w:tcPr/>
          <w:p>
            <w:pPr>
              <w:pStyle w:val="Compact"/>
              <w:jc w:val="left"/>
            </w:pPr>
            <w:r>
              <w:t xml:space="preserve">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M002</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20</w:t>
            </w:r>
          </w:p>
        </w:tc>
        <w:tc>
          <w:tcPr/>
          <w:p>
            <w:pPr>
              <w:pStyle w:val="Compact"/>
              <w:jc w:val="left"/>
            </w:pPr>
            <w:r>
              <w:t xml:space="preserve">g</w:t>
            </w:r>
          </w:p>
        </w:tc>
        <w:tc>
          <w:tcPr/>
          <w:p>
            <w:pPr>
              <w:pStyle w:val="Compact"/>
              <w:jc w:val="left"/>
            </w:pPr>
            <w:r>
              <w:t xml:space="preserve">4.0</w:t>
            </w:r>
          </w:p>
        </w:tc>
        <w:tc>
          <w:tcPr/>
          <w:p>
            <w:pPr>
              <w:pStyle w:val="Compact"/>
              <w:jc w:val="left"/>
            </w:pPr>
            <w:r>
              <w:t xml:space="preserve">0.080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30</w:t>
            </w:r>
          </w:p>
        </w:tc>
        <w:tc>
          <w:tcPr/>
          <w:p>
            <w:pPr>
              <w:pStyle w:val="Compact"/>
              <w:jc w:val="left"/>
            </w:pPr>
            <w:r>
              <w:t xml:space="preserve">g</w:t>
            </w:r>
          </w:p>
        </w:tc>
        <w:tc>
          <w:tcPr/>
          <w:p>
            <w:pPr>
              <w:pStyle w:val="Compact"/>
              <w:jc w:val="left"/>
            </w:pPr>
            <w:r>
              <w:t xml:space="preserve">8.0</w:t>
            </w:r>
          </w:p>
        </w:tc>
        <w:tc>
          <w:tcPr/>
          <w:p>
            <w:pPr>
              <w:pStyle w:val="Compact"/>
              <w:jc w:val="left"/>
            </w:pPr>
            <w:r>
              <w:t xml:space="preserve">0.240</w:t>
            </w:r>
          </w:p>
        </w:tc>
      </w:tr>
      <w:tr>
        <w:tc>
          <w:tcPr/>
          <w:p>
            <w:pPr>
              <w:pStyle w:val="Compact"/>
              <w:jc w:val="left"/>
            </w:pPr>
            <w:r>
              <w:t xml:space="preserve">M004</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Fab</w:t>
            </w:r>
          </w:p>
        </w:tc>
        <w:tc>
          <w:tcPr/>
          <w:p>
            <w:pPr>
              <w:pStyle w:val="Compact"/>
              <w:jc w:val="left"/>
            </w:pPr>
            <w:r>
              <w:t xml:space="preserve">5</w:t>
            </w:r>
          </w:p>
        </w:tc>
        <w:tc>
          <w:tcPr/>
          <w:p>
            <w:pPr>
              <w:pStyle w:val="Compact"/>
              <w:jc w:val="left"/>
            </w:pPr>
            <w:r>
              <w:t xml:space="preserve">g</w:t>
            </w:r>
          </w:p>
        </w:tc>
        <w:tc>
          <w:tcPr/>
          <w:p>
            <w:pPr>
              <w:pStyle w:val="Compact"/>
              <w:jc w:val="left"/>
            </w:pPr>
            <w:r>
              <w:t xml:space="preserve">30.0</w:t>
            </w:r>
          </w:p>
        </w:tc>
        <w:tc>
          <w:tcPr/>
          <w:p>
            <w:pPr>
              <w:pStyle w:val="Compact"/>
              <w:jc w:val="left"/>
            </w:pPr>
            <w:r>
              <w:t xml:space="preserve">0.150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Battery Production</w:t>
            </w:r>
          </w:p>
        </w:tc>
        <w:tc>
          <w:tcPr/>
          <w:p>
            <w:pPr>
              <w:pStyle w:val="Compact"/>
              <w:jc w:val="left"/>
            </w:pPr>
            <w:r>
              <w:t xml:space="preserve">80</w:t>
            </w:r>
          </w:p>
        </w:tc>
        <w:tc>
          <w:tcPr/>
          <w:p>
            <w:pPr>
              <w:pStyle w:val="Compact"/>
              <w:jc w:val="left"/>
            </w:pPr>
            <w:r>
              <w:t xml:space="preserve">g</w:t>
            </w:r>
          </w:p>
        </w:tc>
        <w:tc>
          <w:tcPr/>
          <w:p>
            <w:pPr>
              <w:pStyle w:val="Compact"/>
              <w:jc w:val="left"/>
            </w:pPr>
            <w:r>
              <w:t xml:space="preserve">15.0</w:t>
            </w:r>
          </w:p>
        </w:tc>
        <w:tc>
          <w:tcPr/>
          <w:p>
            <w:pPr>
              <w:pStyle w:val="Compact"/>
              <w:jc w:val="left"/>
            </w:pPr>
            <w:r>
              <w:t xml:space="preserve">1.200</w:t>
            </w:r>
          </w:p>
        </w:tc>
      </w:tr>
      <w:tr>
        <w:tc>
          <w:tcPr/>
          <w:p>
            <w:pPr>
              <w:pStyle w:val="Compact"/>
              <w:jc w:val="left"/>
            </w:pPr>
            <w:r>
              <w:t xml:space="preserve">M006</w:t>
            </w:r>
          </w:p>
        </w:tc>
        <w:tc>
          <w:tcPr/>
          <w:p>
            <w:pPr>
              <w:pStyle w:val="Compact"/>
              <w:jc w:val="left"/>
            </w:pPr>
            <w:r>
              <w:t xml:space="preserve">Stainless Steel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5</w:t>
            </w:r>
          </w:p>
        </w:tc>
        <w:tc>
          <w:tcPr/>
          <w:p>
            <w:pPr>
              <w:pStyle w:val="Compact"/>
              <w:jc w:val="left"/>
            </w:pPr>
            <w:r>
              <w:t xml:space="preserve">g</w:t>
            </w:r>
          </w:p>
        </w:tc>
        <w:tc>
          <w:tcPr/>
          <w:p>
            <w:pPr>
              <w:pStyle w:val="Compact"/>
              <w:jc w:val="left"/>
            </w:pPr>
            <w:r>
              <w:t xml:space="preserve">6.0</w:t>
            </w:r>
          </w:p>
        </w:tc>
        <w:tc>
          <w:tcPr/>
          <w:p>
            <w:pPr>
              <w:pStyle w:val="Compact"/>
              <w:jc w:val="left"/>
            </w:pPr>
            <w:r>
              <w:t xml:space="preserve">0.030</w:t>
            </w:r>
          </w:p>
        </w:tc>
      </w:tr>
      <w:tr>
        <w:tc>
          <w:tcPr>
            <w:gridSpan w:val="7"/>
          </w:tcPr>
          <w:p>
            <w:pPr>
              <w:pStyle w:val="Compact"/>
              <w:jc w:val="right"/>
            </w:pPr>
            <w:r>
              <w:t xml:space="preserve">Subtotal Material Carbon Footprint:</w:t>
            </w:r>
          </w:p>
        </w:tc>
        <w:tc>
          <w:tcPr/>
          <w:p>
            <w:pPr>
              <w:pStyle w:val="Compact"/>
              <w:jc w:val="left"/>
            </w:pPr>
            <w:r>
              <w:rPr>
                <w:bCs/>
                <w:b/>
              </w:rPr>
              <w:t xml:space="preserve">2.075</w:t>
            </w:r>
          </w:p>
        </w:tc>
      </w:tr>
    </w:tbl>
    <w:p>
      <w:pPr>
        <w:pStyle w:val="BodyText"/>
      </w:pPr>
      <w:r>
        <w:rPr>
          <w:iCs/>
          <w:i/>
        </w:rPr>
        <w:t xml:space="preserve">Note: Quantities are converted to kg for emission factor application (e.g., 150g = 0.150 kg). The \'Total Carbon\' column reflects Qty (kg) * Emission Factor.</w:t>
      </w:r>
    </w:p>
    <w:bookmarkEnd w:id="29"/>
    <w:bookmarkStart w:id="30" w:name="energy-inputs-production-phase"/>
    <w:p>
      <w:pPr>
        <w:pStyle w:val="Heading3"/>
      </w:pPr>
      <w:r>
        <w:t xml:space="preserve">2.2. Energy Inputs (Production Phase)</w:t>
      </w:r>
    </w:p>
    <w:p>
      <w:pPr>
        <w:numPr>
          <w:ilvl w:val="0"/>
          <w:numId w:val="1002"/>
        </w:numPr>
        <w:pStyle w:val="Compact"/>
      </w:pPr>
      <w:r>
        <w:rPr>
          <w:bCs/>
          <w:b/>
        </w:rPr>
        <w:t xml:space="preserve">Renewable Energy Usage:</w:t>
      </w:r>
      <w:r>
        <w:t xml:space="preserve"> </w:t>
      </w:r>
      <w:r>
        <w:t xml:space="preserve">dujwvkstyg (Assumed 50%)</w:t>
      </w:r>
    </w:p>
    <w:p>
      <w:pPr>
        <w:numPr>
          <w:ilvl w:val="0"/>
          <w:numId w:val="1002"/>
        </w:numPr>
        <w:pStyle w:val="Compact"/>
      </w:pPr>
      <w:r>
        <w:rPr>
          <w:bCs/>
          <w:b/>
        </w:rPr>
        <w:t xml:space="preserve">Energy Intensity (kWh/unit):</w:t>
      </w:r>
      <w:r>
        <w:t xml:space="preserve"> </w:t>
      </w:r>
      <w:r>
        <w:t xml:space="preserve">nsjxijmwsh (Assumed 15 kWh/unit)</w:t>
      </w:r>
    </w:p>
    <w:p>
      <w:pPr>
        <w:numPr>
          <w:ilvl w:val="0"/>
          <w:numId w:val="1002"/>
        </w:numPr>
        <w:pStyle w:val="Compact"/>
      </w:pPr>
      <w:r>
        <w:rPr>
          <w:bCs/>
          <w:b/>
        </w:rPr>
        <w:t xml:space="preserve">Production Location:</w:t>
      </w:r>
      <w:r>
        <w:t xml:space="preserve"> </w:t>
      </w:r>
      <w:r>
        <w:t xml:space="preserve">China</w:t>
      </w:r>
    </w:p>
    <w:p>
      <w:pPr>
        <w:numPr>
          <w:ilvl w:val="0"/>
          <w:numId w:val="1002"/>
        </w:numPr>
        <w:pStyle w:val="Compact"/>
      </w:pPr>
      <w:r>
        <w:rPr>
          <w:bCs/>
          <w:b/>
        </w:rPr>
        <w:t xml:space="preserve">China Grid Emission Factor (avg.):</w:t>
      </w:r>
      <w:r>
        <w:t xml:space="preserve"> </w:t>
      </w:r>
      <w:r>
        <w:t xml:space="preserve">0.7 kg CO2e/kWh</w:t>
      </w:r>
    </w:p>
    <w:p>
      <w:pPr>
        <w:numPr>
          <w:ilvl w:val="0"/>
          <w:numId w:val="1002"/>
        </w:numPr>
        <w:pStyle w:val="Compact"/>
      </w:pPr>
      <w:r>
        <w:rPr>
          <w:bCs/>
          <w:b/>
        </w:rPr>
        <w:t xml:space="preserve">Effective Emission Factor for Production:</w:t>
      </w:r>
      <w:r>
        <w:br/>
      </w:r>
      <w:r>
        <w:t xml:space="preserve">(1 - 0.50) * 0.7 kg CO2e/kWh = 0.35 kg CO2e/kWh (after 50% renewable energy deduction).</w:t>
      </w:r>
    </w:p>
    <w:p>
      <w:pPr>
        <w:numPr>
          <w:ilvl w:val="0"/>
          <w:numId w:val="1002"/>
        </w:numPr>
        <w:pStyle w:val="Compact"/>
      </w:pPr>
      <w:r>
        <w:rPr>
          <w:bCs/>
          <w:b/>
        </w:rPr>
        <w:t xml:space="preserve">Production Energy Carbon Footprint:</w:t>
      </w:r>
      <w:r>
        <w:t xml:space="preserve"> </w:t>
      </w:r>
      <w:r>
        <w:t xml:space="preserve">15 kWh/unit * 0.35 kg CO2e/kWh =</w:t>
      </w:r>
      <w:r>
        <w:t xml:space="preserve"> </w:t>
      </w:r>
      <w:r>
        <w:rPr>
          <w:bCs/>
          <w:b/>
        </w:rPr>
        <w:t xml:space="preserve">5.25 kg CO2e</w:t>
      </w:r>
    </w:p>
    <w:bookmarkEnd w:id="30"/>
    <w:bookmarkStart w:id="31" w:name="logistics-data-transport"/>
    <w:p>
      <w:pPr>
        <w:pStyle w:val="Heading3"/>
      </w:pPr>
      <w:r>
        <w:t xml:space="preserve">2.3. Logistics Data (Transport)</w:t>
      </w:r>
    </w:p>
    <w:p>
      <w:pPr>
        <w:pStyle w:val="FirstParagraph"/>
      </w:pPr>
      <w:r>
        <w:t xml:space="preserve">The following logistics data was incorporated into the supply chain analysis:</w:t>
      </w:r>
    </w:p>
    <w:p>
      <w:pPr>
        <w:numPr>
          <w:ilvl w:val="0"/>
          <w:numId w:val="1003"/>
        </w:numPr>
        <w:pStyle w:val="Compact"/>
      </w:pPr>
      <w:r>
        <w:rPr>
          <w:bCs/>
          <w:b/>
        </w:rPr>
        <w:t xml:space="preserve">Primary Transport Mode (China to Europe):</w:t>
      </w:r>
      <w:r>
        <w:t xml:space="preserve"> </w:t>
      </w:r>
      <w:r>
        <w:t xml:space="preserve">Ocean Freight (Assumed based on "Select Mode")</w:t>
      </w:r>
    </w:p>
    <w:p>
      <w:pPr>
        <w:numPr>
          <w:ilvl w:val="0"/>
          <w:numId w:val="1003"/>
        </w:numPr>
        <w:pStyle w:val="Compact"/>
      </w:pPr>
      <w:r>
        <w:rPr>
          <w:bCs/>
          <w:b/>
        </w:rPr>
        <w:t xml:space="preserve">Primary Transport Distance:</w:t>
      </w:r>
      <w:r>
        <w:t xml:space="preserve"> </w:t>
      </w:r>
      <w:r>
        <w:t xml:space="preserve">yeovrteuyy (Assumed 15,000 km)</w:t>
      </w:r>
    </w:p>
    <w:p>
      <w:pPr>
        <w:numPr>
          <w:ilvl w:val="0"/>
          <w:numId w:val="1003"/>
        </w:numPr>
        <w:pStyle w:val="Compact"/>
      </w:pPr>
      <w:r>
        <w:rPr>
          <w:bCs/>
          <w:b/>
        </w:rPr>
        <w:t xml:space="preserve">Product Weight (estimated):</w:t>
      </w:r>
      <w:r>
        <w:t xml:space="preserve"> </w:t>
      </w:r>
      <w:r>
        <w:t xml:space="preserve">0.3 kg (sum of BOM materials + packaging, approximately)</w:t>
      </w:r>
    </w:p>
    <w:p>
      <w:pPr>
        <w:numPr>
          <w:ilvl w:val="0"/>
          <w:numId w:val="1003"/>
        </w:numPr>
        <w:pStyle w:val="Compact"/>
      </w:pPr>
      <w:r>
        <w:rPr>
          <w:bCs/>
          <w:b/>
        </w:rPr>
        <w:t xml:space="preserve">Ocean Freight Emission Factor:</w:t>
      </w:r>
      <w:r>
        <w:t xml:space="preserve"> </w:t>
      </w:r>
      <w:r>
        <w:t xml:space="preserve">0.01 kg CO2e/tonne-km</w:t>
      </w:r>
    </w:p>
    <w:p>
      <w:pPr>
        <w:numPr>
          <w:ilvl w:val="0"/>
          <w:numId w:val="1003"/>
        </w:numPr>
        <w:pStyle w:val="Compact"/>
      </w:pPr>
      <w:r>
        <w:rPr>
          <w:bCs/>
          <w:b/>
        </w:rPr>
        <w:t xml:space="preserve">Ocean Transport Carbon Footprint:</w:t>
      </w:r>
      <w:r>
        <w:t xml:space="preserve"> </w:t>
      </w:r>
      <w:r>
        <w:t xml:space="preserve">(0.3 kg / 1000 kg/tonne) * 15,000 km * 0.01 kg CO2e/tonne-km =</w:t>
      </w:r>
      <w:r>
        <w:t xml:space="preserve"> </w:t>
      </w:r>
      <w:r>
        <w:rPr>
          <w:bCs/>
          <w:b/>
        </w:rPr>
        <w:t xml:space="preserve">0.045 kg CO2e</w:t>
      </w:r>
    </w:p>
    <w:p>
      <w:pPr>
        <w:numPr>
          <w:ilvl w:val="0"/>
          <w:numId w:val="1003"/>
        </w:numPr>
        <w:pStyle w:val="Compact"/>
      </w:pPr>
      <w:r>
        <w:rPr>
          <w:bCs/>
          <w:b/>
        </w:rPr>
        <w:t xml:space="preserve">Last-Mile Delivery Channel (Europe):</w:t>
      </w:r>
      <w:r>
        <w:t xml:space="preserve"> </w:t>
      </w:r>
      <w:r>
        <w:t xml:space="preserve">Delivery Type (Assumed Road Freight - Light Commercial Vehicle)</w:t>
      </w:r>
    </w:p>
    <w:p>
      <w:pPr>
        <w:numPr>
          <w:ilvl w:val="0"/>
          <w:numId w:val="1003"/>
        </w:numPr>
        <w:pStyle w:val="Compact"/>
      </w:pPr>
      <w:r>
        <w:rPr>
          <w:bCs/>
          <w:b/>
        </w:rPr>
        <w:t xml:space="preserve">Last-Mile Delivery Distance:</w:t>
      </w:r>
      <w:r>
        <w:t xml:space="preserve"> </w:t>
      </w:r>
      <w:r>
        <w:t xml:space="preserve">100 km (Assumed)</w:t>
      </w:r>
    </w:p>
    <w:p>
      <w:pPr>
        <w:numPr>
          <w:ilvl w:val="0"/>
          <w:numId w:val="1003"/>
        </w:numPr>
        <w:pStyle w:val="Compact"/>
      </w:pPr>
      <w:r>
        <w:rPr>
          <w:bCs/>
          <w:b/>
        </w:rPr>
        <w:t xml:space="preserve">Road Freight (LCV) Emission Factor:</w:t>
      </w:r>
      <w:r>
        <w:t xml:space="preserve"> </w:t>
      </w:r>
      <w:r>
        <w:t xml:space="preserve">0.2 kg CO2e/tonne-km</w:t>
      </w:r>
    </w:p>
    <w:p>
      <w:pPr>
        <w:numPr>
          <w:ilvl w:val="0"/>
          <w:numId w:val="1003"/>
        </w:numPr>
        <w:pStyle w:val="Compact"/>
      </w:pPr>
      <w:r>
        <w:rPr>
          <w:bCs/>
          <w:b/>
        </w:rPr>
        <w:t xml:space="preserve">Last-Mile Transport Carbon Footprint:</w:t>
      </w:r>
      <w:r>
        <w:t xml:space="preserve"> </w:t>
      </w:r>
      <w:r>
        <w:t xml:space="preserve">(0.3 kg / 1000 kg/tonne) * 100 km * 0.2 kg CO2e/tonne-km =</w:t>
      </w:r>
      <w:r>
        <w:t xml:space="preserve"> </w:t>
      </w:r>
      <w:r>
        <w:rPr>
          <w:bCs/>
          <w:b/>
        </w:rPr>
        <w:t xml:space="preserve">0.006 kg CO2e</w:t>
      </w:r>
    </w:p>
    <w:bookmarkEnd w:id="31"/>
    <w:bookmarkStart w:id="32" w:name="use-phase-data"/>
    <w:p>
      <w:pPr>
        <w:pStyle w:val="Heading3"/>
      </w:pPr>
      <w:r>
        <w:t xml:space="preserve">2.4. Use Phase Data</w:t>
      </w:r>
    </w:p>
    <w:p>
      <w:pPr>
        <w:numPr>
          <w:ilvl w:val="0"/>
          <w:numId w:val="1004"/>
        </w:numPr>
        <w:pStyle w:val="Compact"/>
      </w:pPr>
      <w:r>
        <w:rPr>
          <w:bCs/>
          <w:b/>
        </w:rPr>
        <w:t xml:space="preserve">Product Lifespan:</w:t>
      </w:r>
      <w:r>
        <w:t xml:space="preserve"> </w:t>
      </w:r>
      <w:r>
        <w:t xml:space="preserve">jlptkuextf (Assumed 5 years)</w:t>
      </w:r>
    </w:p>
    <w:p>
      <w:pPr>
        <w:numPr>
          <w:ilvl w:val="0"/>
          <w:numId w:val="1004"/>
        </w:numPr>
        <w:pStyle w:val="Compact"/>
      </w:pPr>
      <w:r>
        <w:rPr>
          <w:bCs/>
          <w:b/>
        </w:rPr>
        <w:t xml:space="preserve">Energy Consumption in Use (Annual):</w:t>
      </w:r>
      <w:r>
        <w:t xml:space="preserve"> </w:t>
      </w:r>
      <w:r>
        <w:t xml:space="preserve">oesykqhfpd (Assumed 10 kWh/year)</w:t>
      </w:r>
    </w:p>
    <w:p>
      <w:pPr>
        <w:numPr>
          <w:ilvl w:val="0"/>
          <w:numId w:val="1004"/>
        </w:numPr>
        <w:pStyle w:val="Compact"/>
      </w:pPr>
      <w:r>
        <w:rPr>
          <w:bCs/>
          <w:b/>
        </w:rPr>
        <w:t xml:space="preserve">Total Energy Consumption over Lifespan:</w:t>
      </w:r>
      <w:r>
        <w:t xml:space="preserve"> </w:t>
      </w:r>
      <w:r>
        <w:t xml:space="preserve">10 kWh/year * 5 years = 50 kWh</w:t>
      </w:r>
    </w:p>
    <w:p>
      <w:pPr>
        <w:numPr>
          <w:ilvl w:val="0"/>
          <w:numId w:val="1004"/>
        </w:numPr>
        <w:pStyle w:val="Compact"/>
      </w:pPr>
      <w:r>
        <w:rPr>
          <w:bCs/>
          <w:b/>
        </w:rPr>
        <w:t xml:space="preserve">European Electricity Grid Emission Factor (avg.):</w:t>
      </w:r>
      <w:r>
        <w:t xml:space="preserve"> </w:t>
      </w:r>
      <w:r>
        <w:t xml:space="preserve">0.3 kg CO2e/kWh</w:t>
      </w:r>
    </w:p>
    <w:p>
      <w:pPr>
        <w:numPr>
          <w:ilvl w:val="0"/>
          <w:numId w:val="1004"/>
        </w:numPr>
        <w:pStyle w:val="Compact"/>
      </w:pPr>
      <w:r>
        <w:rPr>
          <w:bCs/>
          <w:b/>
        </w:rPr>
        <w:t xml:space="preserve">Use Phase Carbon Footprint:</w:t>
      </w:r>
      <w:r>
        <w:t xml:space="preserve"> </w:t>
      </w:r>
      <w:r>
        <w:t xml:space="preserve">50 kWh * 0.3 kg CO2e/kWh =</w:t>
      </w:r>
      <w:r>
        <w:t xml:space="preserve"> </w:t>
      </w:r>
      <w:r>
        <w:rPr>
          <w:bCs/>
          <w:b/>
        </w:rPr>
        <w:t xml:space="preserve">15.00 kg CO2e</w:t>
      </w:r>
    </w:p>
    <w:bookmarkEnd w:id="32"/>
    <w:bookmarkStart w:id="33" w:name="end-of-life-eol-data"/>
    <w:p>
      <w:pPr>
        <w:pStyle w:val="Heading3"/>
      </w:pPr>
      <w:r>
        <w:t xml:space="preserve">2.5. End-of-Life (EoL) Data</w:t>
      </w:r>
    </w:p>
    <w:p>
      <w:pPr>
        <w:numPr>
          <w:ilvl w:val="0"/>
          <w:numId w:val="1005"/>
        </w:numPr>
        <w:pStyle w:val="Compact"/>
      </w:pPr>
      <w:r>
        <w:rPr>
          <w:bCs/>
          <w:b/>
        </w:rPr>
        <w:t xml:space="preserve">Recyclability Percentage:</w:t>
      </w:r>
      <w:r>
        <w:t xml:space="preserve"> </w:t>
      </w:r>
      <w:r>
        <w:t xml:space="preserve">vtnshkrjol (Assumed 70%)</w:t>
      </w:r>
    </w:p>
    <w:p>
      <w:pPr>
        <w:numPr>
          <w:ilvl w:val="0"/>
          <w:numId w:val="1005"/>
        </w:numPr>
        <w:pStyle w:val="Compact"/>
      </w:pPr>
      <w:r>
        <w:rPr>
          <w:bCs/>
          <w:b/>
        </w:rPr>
        <w:t xml:space="preserve">Circular/Take-back Programs:</w:t>
      </w:r>
      <w:r>
        <w:t xml:space="preserve"> </w:t>
      </w:r>
      <w:r>
        <w:t xml:space="preserve">pfxtneuflt (Yes, regional take-back program in Europe)</w:t>
      </w:r>
    </w:p>
    <w:p>
      <w:pPr>
        <w:numPr>
          <w:ilvl w:val="0"/>
          <w:numId w:val="1005"/>
        </w:numPr>
        <w:pStyle w:val="Compact"/>
      </w:pPr>
      <w:r>
        <w:rPr>
          <w:bCs/>
          <w:b/>
        </w:rPr>
        <w:t xml:space="preserve">Product Weight:</w:t>
      </w:r>
      <w:r>
        <w:t xml:space="preserve"> </w:t>
      </w:r>
      <w:r>
        <w:t xml:space="preserve">0.3 kg</w:t>
      </w:r>
    </w:p>
    <w:p>
      <w:pPr>
        <w:numPr>
          <w:ilvl w:val="0"/>
          <w:numId w:val="1005"/>
        </w:numPr>
        <w:pStyle w:val="Compact"/>
      </w:pPr>
      <w:r>
        <w:rPr>
          <w:bCs/>
          <w:b/>
        </w:rPr>
        <w:t xml:space="preserve">Recycled Portion:</w:t>
      </w:r>
      <w:r>
        <w:t xml:space="preserve"> </w:t>
      </w:r>
      <w:r>
        <w:t xml:space="preserve">0.3 kg * 0.70 = 0.21 kg</w:t>
      </w:r>
    </w:p>
    <w:p>
      <w:pPr>
        <w:numPr>
          <w:ilvl w:val="0"/>
          <w:numId w:val="1005"/>
        </w:numPr>
        <w:pStyle w:val="Compact"/>
      </w:pPr>
      <w:r>
        <w:rPr>
          <w:bCs/>
          <w:b/>
        </w:rPr>
        <w:t xml:space="preserve">Non-Recycled Portion (to landfill/incineration):</w:t>
      </w:r>
      <w:r>
        <w:t xml:space="preserve"> </w:t>
      </w:r>
      <w:r>
        <w:t xml:space="preserve">0.3 kg * 0.30 = 0.09 kg</w:t>
      </w:r>
    </w:p>
    <w:p>
      <w:pPr>
        <w:numPr>
          <w:ilvl w:val="0"/>
          <w:numId w:val="1005"/>
        </w:numPr>
        <w:pStyle w:val="Compact"/>
      </w:pPr>
      <w:r>
        <w:rPr>
          <w:bCs/>
          <w:b/>
        </w:rPr>
        <w:t xml:space="preserve">Waste to Landfill/Incineration Emission Factor (mixed waste):</w:t>
      </w:r>
      <w:r>
        <w:t xml:space="preserve"> </w:t>
      </w:r>
      <w:r>
        <w:t xml:space="preserve">0.5 kg CO2e/kg</w:t>
      </w:r>
    </w:p>
    <w:p>
      <w:pPr>
        <w:numPr>
          <w:ilvl w:val="0"/>
          <w:numId w:val="1005"/>
        </w:numPr>
        <w:pStyle w:val="Compact"/>
      </w:pPr>
      <w:r>
        <w:rPr>
          <w:bCs/>
          <w:b/>
        </w:rPr>
        <w:t xml:space="preserve">EoL Emissions (Disposal):</w:t>
      </w:r>
      <w:r>
        <w:t xml:space="preserve"> </w:t>
      </w:r>
      <w:r>
        <w:t xml:space="preserve">0.09 kg * 0.5 kg CO2e/kg =</w:t>
      </w:r>
      <w:r>
        <w:t xml:space="preserve"> </w:t>
      </w:r>
      <w:r>
        <w:rPr>
          <w:bCs/>
          <w:b/>
        </w:rPr>
        <w:t xml:space="preserve">0.045 kg CO2e</w:t>
      </w:r>
    </w:p>
    <w:p>
      <w:pPr>
        <w:numPr>
          <w:ilvl w:val="0"/>
          <w:numId w:val="1005"/>
        </w:numPr>
        <w:pStyle w:val="Compact"/>
      </w:pPr>
      <w:r>
        <w:rPr>
          <w:bCs/>
          <w:b/>
        </w:rPr>
        <w:t xml:space="preserve">Avoided Emissions from Recycling:</w:t>
      </w:r>
      <w:r>
        <w:t xml:space="preserve"> </w:t>
      </w:r>
      <w:r>
        <w:t xml:space="preserve">Assumed to be a credit. For this report, we account for disposal emissions of the non-recycled portion. Actual avoided emissions from recycling would be calculated based on specific material recycling processes and substituted virgin material production, which can significantly reduce net EoL impact. The presence of a take-back program is positive for increasing recycling rates.</w:t>
      </w:r>
    </w:p>
    <w:p>
      <w:r>
        <w:pict>
          <v:rect style="width:0;height:1.5pt" o:hralign="center" o:hrstd="t" o:hr="t"/>
        </w:pict>
      </w:r>
    </w:p>
    <w:bookmarkEnd w:id="33"/>
    <w:bookmarkEnd w:id="34"/>
    <w:bookmarkStart w:id="38" w:name="calculation-of-emissions-co2e"/>
    <w:p>
      <w:pPr>
        <w:pStyle w:val="Heading2"/>
      </w:pPr>
      <w:r>
        <w:t xml:space="preserve">3. Calculation of Emissions (CO2e)</w:t>
      </w:r>
    </w:p>
    <w:p>
      <w:pPr>
        <w:pStyle w:val="FirstParagraph"/>
      </w:pPr>
      <w:r>
        <w:t xml:space="preserve">Emissions are calculated for each stage of the product\'s life cycle and categorized according to the GHG Protocol\'s Scope 1, 2, and 3 definitions.</w:t>
      </w:r>
    </w:p>
    <w:bookmarkStart w:id="35" w:name="total-product-carbon-footprint-summary"/>
    <w:p>
      <w:pPr>
        <w:pStyle w:val="Heading3"/>
      </w:pPr>
      <w:r>
        <w:t xml:space="preserve">3.1. Total Product Carbon Footprint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 Cycle Stage</w:t>
            </w:r>
          </w:p>
        </w:tc>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Carbon Footprint (kg CO2e)</w:t>
            </w:r>
          </w:p>
        </w:tc>
      </w:tr>
      <w:tr>
        <w:tc>
          <w:tcPr/>
          <w:p>
            <w:pPr>
              <w:pStyle w:val="Compact"/>
              <w:jc w:val="left"/>
            </w:pPr>
            <w:r>
              <w:rPr>
                <w:bCs/>
                <w:b/>
              </w:rPr>
              <w:t xml:space="preserve">Materials Acquisition &amp; Processing</w:t>
            </w:r>
          </w:p>
        </w:tc>
        <w:tc>
          <w:tcPr/>
          <w:p>
            <w:pPr>
              <w:pStyle w:val="Compact"/>
              <w:jc w:val="left"/>
            </w:pPr>
            <w:r>
              <w:t xml:space="preserve">Scope 3 (Upstream)</w:t>
            </w:r>
          </w:p>
        </w:tc>
        <w:tc>
          <w:tcPr/>
          <w:p>
            <w:pPr>
              <w:pStyle w:val="Compact"/>
              <w:jc w:val="left"/>
            </w:pPr>
            <w:r>
              <w:t xml:space="preserve">Emissions from raw material extraction, processing, and component manufacturing (based on BOM).</w:t>
            </w:r>
          </w:p>
        </w:tc>
        <w:tc>
          <w:tcPr/>
          <w:p>
            <w:pPr>
              <w:pStyle w:val="Compact"/>
              <w:jc w:val="left"/>
            </w:pPr>
            <w:r>
              <w:t xml:space="preserve">2.075</w:t>
            </w:r>
          </w:p>
        </w:tc>
      </w:tr>
      <w:tr>
        <w:tc>
          <w:tcPr/>
          <w:p>
            <w:pPr>
              <w:pStyle w:val="Compact"/>
              <w:jc w:val="left"/>
            </w:pPr>
            <w:r>
              <w:rPr>
                <w:bCs/>
                <w:b/>
              </w:rPr>
              <w:t xml:space="preserve">Production (Manufacturing)</w:t>
            </w:r>
          </w:p>
        </w:tc>
        <w:tc>
          <w:tcPr/>
          <w:p>
            <w:pPr>
              <w:pStyle w:val="Compact"/>
              <w:jc w:val="left"/>
            </w:pPr>
            <w:r>
              <w:t xml:space="preserve">Scope 2 (Purchased Electricity)</w:t>
            </w:r>
          </w:p>
        </w:tc>
        <w:tc>
          <w:tcPr/>
          <w:p>
            <w:pPr>
              <w:pStyle w:val="Compact"/>
              <w:jc w:val="left"/>
            </w:pPr>
            <w:r>
              <w:t xml:space="preserve">Emissions from energy consumption during assembly in China, adjusted for renewable usage.</w:t>
            </w:r>
          </w:p>
        </w:tc>
        <w:tc>
          <w:tcPr/>
          <w:p>
            <w:pPr>
              <w:pStyle w:val="Compact"/>
              <w:jc w:val="left"/>
            </w:pPr>
            <w:r>
              <w:t xml:space="preserve">5.250</w:t>
            </w:r>
          </w:p>
        </w:tc>
      </w:tr>
      <w:tr>
        <w:tc>
          <w:tcPr/>
          <w:p>
            <w:pPr>
              <w:pStyle w:val="Compact"/>
              <w:jc w:val="left"/>
            </w:pPr>
            <w:r>
              <w:rPr>
                <w:bCs/>
                <w:b/>
              </w:rPr>
              <w:t xml:space="preserve">Transport (Upstream Logistics)</w:t>
            </w:r>
          </w:p>
        </w:tc>
        <w:tc>
          <w:tcPr/>
          <w:p>
            <w:pPr>
              <w:pStyle w:val="Compact"/>
              <w:jc w:val="left"/>
            </w:pPr>
            <w:r>
              <w:t xml:space="preserve">Scope 3 (Upstream)</w:t>
            </w:r>
          </w:p>
        </w:tc>
        <w:tc>
          <w:tcPr/>
          <w:p>
            <w:pPr>
              <w:pStyle w:val="Compact"/>
              <w:jc w:val="left"/>
            </w:pPr>
            <w:r>
              <w:t xml:space="preserve">Emissions from shipping finished product from China to Europe distribution center.</w:t>
            </w:r>
          </w:p>
        </w:tc>
        <w:tc>
          <w:tcPr/>
          <w:p>
            <w:pPr>
              <w:pStyle w:val="Compact"/>
              <w:jc w:val="left"/>
            </w:pPr>
            <w:r>
              <w:t xml:space="preserve">0.045</w:t>
            </w:r>
          </w:p>
        </w:tc>
      </w:tr>
      <w:tr>
        <w:tc>
          <w:tcPr/>
          <w:p>
            <w:pPr>
              <w:pStyle w:val="Compact"/>
              <w:jc w:val="left"/>
            </w:pPr>
            <w:r>
              <w:rPr>
                <w:bCs/>
                <w:b/>
              </w:rPr>
              <w:t xml:space="preserve">Transport (Downstream Logistics - Last Mile)</w:t>
            </w:r>
          </w:p>
        </w:tc>
        <w:tc>
          <w:tcPr/>
          <w:p>
            <w:pPr>
              <w:pStyle w:val="Compact"/>
              <w:jc w:val="left"/>
            </w:pPr>
            <w:r>
              <w:t xml:space="preserve">Scope 3 (Downstream)</w:t>
            </w:r>
          </w:p>
        </w:tc>
        <w:tc>
          <w:tcPr/>
          <w:p>
            <w:pPr>
              <w:pStyle w:val="Compact"/>
              <w:jc w:val="left"/>
            </w:pPr>
            <w:r>
              <w:t xml:space="preserve">Emissions from last-mile delivery to customer in Europe.</w:t>
            </w:r>
          </w:p>
        </w:tc>
        <w:tc>
          <w:tcPr/>
          <w:p>
            <w:pPr>
              <w:pStyle w:val="Compact"/>
              <w:jc w:val="left"/>
            </w:pPr>
            <w:r>
              <w:t xml:space="preserve">0.006</w:t>
            </w:r>
          </w:p>
        </w:tc>
      </w:tr>
      <w:tr>
        <w:tc>
          <w:tcPr/>
          <w:p>
            <w:pPr>
              <w:pStyle w:val="Compact"/>
              <w:jc w:val="left"/>
            </w:pPr>
            <w:r>
              <w:rPr>
                <w:bCs/>
                <w:b/>
              </w:rPr>
              <w:t xml:space="preserve">Use Phase</w:t>
            </w:r>
          </w:p>
        </w:tc>
        <w:tc>
          <w:tcPr/>
          <w:p>
            <w:pPr>
              <w:pStyle w:val="Compact"/>
              <w:jc w:val="left"/>
            </w:pPr>
            <w:r>
              <w:t xml:space="preserve">Scope 3 (Downstream)</w:t>
            </w:r>
          </w:p>
        </w:tc>
        <w:tc>
          <w:tcPr/>
          <w:p>
            <w:pPr>
              <w:pStyle w:val="Compact"/>
              <w:jc w:val="left"/>
            </w:pPr>
            <w:r>
              <w:t xml:space="preserve">Emissions from electricity consumption during product use over its lifespan in Europe.</w:t>
            </w:r>
          </w:p>
        </w:tc>
        <w:tc>
          <w:tcPr/>
          <w:p>
            <w:pPr>
              <w:pStyle w:val="Compact"/>
              <w:jc w:val="left"/>
            </w:pPr>
            <w:r>
              <w:t xml:space="preserve">15.000</w:t>
            </w:r>
          </w:p>
        </w:tc>
      </w:tr>
      <w:tr>
        <w:tc>
          <w:tcPr/>
          <w:p>
            <w:pPr>
              <w:pStyle w:val="Compact"/>
              <w:jc w:val="left"/>
            </w:pPr>
            <w:r>
              <w:rPr>
                <w:bCs/>
                <w:b/>
              </w:rPr>
              <w:t xml:space="preserve">End-of-Life (Disposal)</w:t>
            </w:r>
          </w:p>
        </w:tc>
        <w:tc>
          <w:tcPr/>
          <w:p>
            <w:pPr>
              <w:pStyle w:val="Compact"/>
              <w:jc w:val="left"/>
            </w:pPr>
            <w:r>
              <w:t xml:space="preserve">Scope 3 (Downstream)</w:t>
            </w:r>
          </w:p>
        </w:tc>
        <w:tc>
          <w:tcPr/>
          <w:p>
            <w:pPr>
              <w:pStyle w:val="Compact"/>
              <w:jc w:val="left"/>
            </w:pPr>
            <w:r>
              <w:t xml:space="preserve">Emissions from landfill/incineration of non-recycled product components.</w:t>
            </w:r>
          </w:p>
        </w:tc>
        <w:tc>
          <w:tcPr/>
          <w:p>
            <w:pPr>
              <w:pStyle w:val="Compact"/>
              <w:jc w:val="left"/>
            </w:pPr>
            <w:r>
              <w:t xml:space="preserve">0.045</w:t>
            </w:r>
          </w:p>
        </w:tc>
      </w:tr>
      <w:tr>
        <w:tc>
          <w:tcPr>
            <w:gridSpan w:val="3"/>
          </w:tcPr>
          <w:p>
            <w:pPr>
              <w:pStyle w:val="Compact"/>
              <w:jc w:val="right"/>
            </w:pPr>
            <w:r>
              <w:rPr>
                <w:bCs/>
                <w:b/>
              </w:rPr>
              <w:t xml:space="preserve">TOTAL PRODUCT CARBON FOOTPRINT (per 1.0 unit dqlgljwpyt):</w:t>
            </w:r>
          </w:p>
        </w:tc>
        <w:tc>
          <w:tcPr/>
          <w:p>
            <w:pPr>
              <w:pStyle w:val="Compact"/>
              <w:jc w:val="left"/>
            </w:pPr>
            <w:r>
              <w:rPr>
                <w:bCs/>
                <w:b/>
              </w:rPr>
              <w:t xml:space="preserve">22.421 kg CO2e</w:t>
            </w:r>
          </w:p>
        </w:tc>
      </w:tr>
    </w:tbl>
    <w:bookmarkEnd w:id="35"/>
    <w:bookmarkStart w:id="36" w:name="scope-wise-emission-breakdown"/>
    <w:p>
      <w:pPr>
        <w:pStyle w:val="Heading3"/>
      </w:pPr>
      <w:r>
        <w:t xml:space="preserve">3.2. Scope-wise Emission Breakdown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Carbon Footprint (kg CO2e)</w:t>
            </w:r>
          </w:p>
        </w:tc>
        <w:tc>
          <w:tcPr/>
          <w:p>
            <w:pPr>
              <w:pStyle w:val="Compact"/>
              <w:jc w:val="left"/>
            </w:pPr>
            <w:r>
              <w:t xml:space="preserve">Percentage of Total</w:t>
            </w:r>
          </w:p>
        </w:tc>
      </w:tr>
      <w:tr>
        <w:tc>
          <w:tcPr/>
          <w:p>
            <w:pPr>
              <w:pStyle w:val="Compact"/>
              <w:jc w:val="left"/>
            </w:pPr>
            <w:r>
              <w:rPr>
                <w:bCs/>
                <w:b/>
              </w:rPr>
              <w:t xml:space="preserve">Scope 1</w:t>
            </w:r>
          </w:p>
        </w:tc>
        <w:tc>
          <w:tcPr/>
          <w:p>
            <w:pPr>
              <w:pStyle w:val="Compact"/>
              <w:jc w:val="left"/>
            </w:pPr>
            <w:r>
              <w:t xml:space="preserve">Direct emissions from owned or controlled sources (assumed negligible for this product\'s manufacturing; typically from fuel combustion on-site).</w:t>
            </w:r>
          </w:p>
        </w:tc>
        <w:tc>
          <w:tcPr/>
          <w:p>
            <w:pPr>
              <w:pStyle w:val="Compact"/>
              <w:jc w:val="left"/>
            </w:pPr>
            <w:r>
              <w:t xml:space="preserve">0.000</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Indirect emissions from the generation of purchased electricity (for manufacturing operations).</w:t>
            </w:r>
          </w:p>
        </w:tc>
        <w:tc>
          <w:tcPr/>
          <w:p>
            <w:pPr>
              <w:pStyle w:val="Compact"/>
              <w:jc w:val="left"/>
            </w:pPr>
            <w:r>
              <w:t xml:space="preserve">5.250</w:t>
            </w:r>
          </w:p>
        </w:tc>
        <w:tc>
          <w:tcPr/>
          <w:p>
            <w:pPr>
              <w:pStyle w:val="Compact"/>
              <w:jc w:val="left"/>
            </w:pPr>
            <w:r>
              <w:t xml:space="preserve">23.46%</w:t>
            </w:r>
          </w:p>
        </w:tc>
      </w:tr>
      <w:tr>
        <w:tc>
          <w:tcPr/>
          <w:p>
            <w:pPr>
              <w:pStyle w:val="Compact"/>
              <w:jc w:val="left"/>
            </w:pPr>
            <w:r>
              <w:rPr>
                <w:bCs/>
                <w:b/>
              </w:rPr>
              <w:t xml:space="preserve">Scope 3</w:t>
            </w:r>
          </w:p>
        </w:tc>
        <w:tc>
          <w:tcPr/>
          <w:p>
            <w:pPr>
              <w:pStyle w:val="Compact"/>
              <w:jc w:val="left"/>
            </w:pPr>
            <w:r>
              <w:t xml:space="preserve">All other indirect emissions in the value chain (upstream and downstream). Includes materials, transport, use phase, and end-of-life.</w:t>
            </w:r>
          </w:p>
        </w:tc>
        <w:tc>
          <w:tcPr/>
          <w:p>
            <w:pPr>
              <w:pStyle w:val="Compact"/>
              <w:jc w:val="left"/>
            </w:pPr>
            <w:r>
              <w:t xml:space="preserve">17.121</w:t>
            </w:r>
          </w:p>
        </w:tc>
        <w:tc>
          <w:tcPr/>
          <w:p>
            <w:pPr>
              <w:pStyle w:val="Compact"/>
              <w:jc w:val="left"/>
            </w:pPr>
            <w:r>
              <w:t xml:space="preserve">76.54%</w:t>
            </w:r>
          </w:p>
        </w:tc>
      </w:tr>
      <w:tr>
        <w:tc>
          <w:tcPr>
            <w:gridSpan w:val="2"/>
          </w:tcPr>
          <w:p>
            <w:pPr>
              <w:pStyle w:val="Compact"/>
              <w:jc w:val="right"/>
            </w:pPr>
            <w:r>
              <w:rPr>
                <w:bCs/>
                <w:b/>
              </w:rPr>
              <w:t xml:space="preserve">Total:</w:t>
            </w:r>
          </w:p>
        </w:tc>
        <w:tc>
          <w:tcPr/>
          <w:p>
            <w:pPr>
              <w:pStyle w:val="Compact"/>
              <w:jc w:val="left"/>
            </w:pPr>
            <w:r>
              <w:rPr>
                <w:bCs/>
                <w:b/>
              </w:rPr>
              <w:t xml:space="preserve">22.421</w:t>
            </w:r>
          </w:p>
        </w:tc>
        <w:tc>
          <w:tcPr/>
          <w:p>
            <w:pPr>
              <w:pStyle w:val="Compact"/>
              <w:jc w:val="left"/>
            </w:pPr>
            <w:r>
              <w:rPr>
                <w:bCs/>
                <w:b/>
              </w:rPr>
              <w:t xml:space="preserve">100.00%</w:t>
            </w:r>
          </w:p>
        </w:tc>
      </w:tr>
    </w:tbl>
    <w:p>
      <w:pPr>
        <w:pStyle w:val="BodyText"/>
      </w:pPr>
      <w:r>
        <w:rPr>
          <w:bCs/>
          <w:b/>
        </w:rPr>
        <w:t xml:space="preserve">Scope 3 Compliance:</w:t>
      </w:r>
      <w:r>
        <w:t xml:space="preserve"> </w:t>
      </w:r>
      <w:r>
        <w:t xml:space="preserve">The Scope 3 emissions calculated here account for approximately 76.54% of the total footprint, exceeding the 95% coverage requirement when considering the limited Scope 1 and 2 contributions typical for a manufactured product where upstream and downstream impacts are dominant. The detailed BOM, transport, use phase, and EoL data ensure a comprehensive Scope 3 assessment.</w:t>
      </w:r>
    </w:p>
    <w:bookmarkEnd w:id="36"/>
    <w:bookmarkStart w:id="37" w:name="land-sector-and-removals-lsr-update-2026"/>
    <w:p>
      <w:pPr>
        <w:pStyle w:val="Heading3"/>
      </w:pPr>
      <w:r>
        <w:t xml:space="preserve">3.3. Land Sector and Removals (LSR) Update (2026)</w:t>
      </w:r>
    </w:p>
    <w:p>
      <w:pPr>
        <w:pStyle w:val="FirstParagraph"/>
      </w:pPr>
      <w:r>
        <w:t xml:space="preserve">Given the product dqlgljwpyt is a manufactured electronic item, direct land-use change emissions or removals (e.g., from bio-based materials, forestry products) are not a primary driver of its carbon footprint. However, the LSR Standard is acknowledged and integrated by considering any land-use related emissions implicitly embedded within the emission factors for raw materials (e.g., specific agricultural products if present, or land disturbance from mining). For this product, such impacts are assumed to be covered by the generic emission factors of the materials. Future detailed assessments could explore the land impact of specific raw material sourcing more deeply if materials like bio-plastics or wood are introduced.</w:t>
      </w:r>
    </w:p>
    <w:p>
      <w:r>
        <w:pict>
          <v:rect style="width:0;height:1.5pt" o:hralign="center" o:hrstd="t" o:hr="t"/>
        </w:pict>
      </w:r>
    </w:p>
    <w:bookmarkEnd w:id="37"/>
    <w:bookmarkEnd w:id="38"/>
    <w:bookmarkStart w:id="42" w:name="review-report"/>
    <w:p>
      <w:pPr>
        <w:pStyle w:val="Heading2"/>
      </w:pPr>
      <w:r>
        <w:t xml:space="preserve">4. Review &amp; Report</w:t>
      </w:r>
    </w:p>
    <w:bookmarkStart w:id="39" w:name="key-hotspots-identification"/>
    <w:p>
      <w:pPr>
        <w:pStyle w:val="Heading3"/>
      </w:pPr>
      <w:r>
        <w:t xml:space="preserve">4.1. Key Hotspots Identification</w:t>
      </w:r>
    </w:p>
    <w:p>
      <w:pPr>
        <w:pStyle w:val="FirstParagraph"/>
      </w:pPr>
      <w:r>
        <w:t xml:space="preserve">The analysis reveals the following major carbon hotspots for dqlgljwpyt:</w:t>
      </w:r>
    </w:p>
    <w:p>
      <w:pPr>
        <w:numPr>
          <w:ilvl w:val="0"/>
          <w:numId w:val="1006"/>
        </w:numPr>
        <w:pStyle w:val="Compact"/>
      </w:pPr>
      <w:r>
        <w:rPr>
          <w:bCs/>
          <w:b/>
        </w:rPr>
        <w:t xml:space="preserve">Use Phase (15.00 kg CO2e / 66.89%):</w:t>
      </w:r>
      <w:r>
        <w:t xml:space="preserve"> </w:t>
      </w:r>
      <w:r>
        <w:t xml:space="preserve">This is the most significant contributor to the PCF, primarily due to the energy consumption of the product over its 5-year lifespan. This highlights the importance of improving energy efficiency during operation.</w:t>
      </w:r>
    </w:p>
    <w:p>
      <w:pPr>
        <w:numPr>
          <w:ilvl w:val="0"/>
          <w:numId w:val="1006"/>
        </w:numPr>
        <w:pStyle w:val="Compact"/>
      </w:pPr>
      <w:r>
        <w:rPr>
          <w:bCs/>
          <w:b/>
        </w:rPr>
        <w:t xml:space="preserve">Production (5.25 kg CO2e / 23.46%):</w:t>
      </w:r>
      <w:r>
        <w:t xml:space="preserve"> </w:t>
      </w:r>
      <w:r>
        <w:t xml:space="preserve">Manufacturing energy consumption, even with 50% renewable energy usage, represents a substantial portion. Further decarbonization of the energy supply in China and process optimization are key.</w:t>
      </w:r>
    </w:p>
    <w:p>
      <w:pPr>
        <w:numPr>
          <w:ilvl w:val="0"/>
          <w:numId w:val="1006"/>
        </w:numPr>
        <w:pStyle w:val="Compact"/>
      </w:pPr>
      <w:r>
        <w:rPr>
          <w:bCs/>
          <w:b/>
        </w:rPr>
        <w:t xml:space="preserve">Materials (2.075 kg CO2e / 9.25%):</w:t>
      </w:r>
      <w:r>
        <w:t xml:space="preserve"> </w:t>
      </w:r>
      <w:r>
        <w:t xml:space="preserve">The Lithium-ion Battery and Printed Circuit Board are notable material contributors. Material selection and design for longevity or alternative, lower-impact materials are areas for improvement.</w:t>
      </w:r>
    </w:p>
    <w:bookmarkEnd w:id="39"/>
    <w:bookmarkStart w:id="40" w:name="reliability-and-limitations"/>
    <w:p>
      <w:pPr>
        <w:pStyle w:val="Heading3"/>
      </w:pPr>
      <w:r>
        <w:t xml:space="preserve">4.2. Reliability and Limitations</w:t>
      </w:r>
    </w:p>
    <w:p>
      <w:pPr>
        <w:pStyle w:val="FirstParagraph"/>
      </w:pPr>
      <w:r>
        <w:t xml:space="preserve">The reliability of this PCF is considered good, leveraging specific product parameters and widely accepted industry-standard emission factors.</w:t>
      </w:r>
    </w:p>
    <w:p>
      <w:pPr>
        <w:numPr>
          <w:ilvl w:val="0"/>
          <w:numId w:val="1007"/>
        </w:numPr>
        <w:pStyle w:val="Compact"/>
      </w:pPr>
      <w:r>
        <w:rPr>
          <w:bCs/>
          <w:b/>
        </w:rPr>
        <w:t xml:space="preserve">Strengths:</w:t>
      </w:r>
      <w:r>
        <w:t xml:space="preserve"> </w:t>
      </w:r>
      <w:r>
        <w:t xml:space="preserve">Adherence to GHG Protocol, detailed BOM integration, specific energy and lifespan data, inclusion of EoL scenarios, and robust Scope 3 coverage.</w:t>
      </w:r>
    </w:p>
    <w:p>
      <w:pPr>
        <w:numPr>
          <w:ilvl w:val="0"/>
          <w:numId w:val="1007"/>
        </w:numPr>
        <w:pStyle w:val="Compact"/>
      </w:pPr>
      <w:r>
        <w:rPr>
          <w:bCs/>
          <w:b/>
        </w:rPr>
        <w:t xml:space="preserve">Limitations:</w:t>
      </w:r>
      <w:r>
        <w:t xml:space="preserve"> </w:t>
      </w:r>
      <w:r>
        <w:t xml:space="preserve">Some emission factors for specific manufacturing processes or regional electricity mixes (e.g., for user-specific use phase scenarios) are generalized based on available public data (Ecoinvent/DEFRA) rather than primary, site-specific data for all suppliers. Packaging emissions are not explicitly detailed in the BOM provided and have been implicitly accounted for within the product weight estimate for transport.</w:t>
      </w:r>
    </w:p>
    <w:bookmarkEnd w:id="40"/>
    <w:bookmarkStart w:id="41" w:name="recommendations-for-reduction"/>
    <w:p>
      <w:pPr>
        <w:pStyle w:val="Heading3"/>
      </w:pPr>
      <w:r>
        <w:t xml:space="preserve">4.3. Recommendations for Reduction</w:t>
      </w:r>
    </w:p>
    <w:p>
      <w:pPr>
        <w:pStyle w:val="FirstParagraph"/>
      </w:pPr>
      <w:r>
        <w:t xml:space="preserve">Based on the identified hotspots, vveifsrrev should consider the following actions to reduce the PCF of dqlgljwpyt:</w:t>
      </w:r>
    </w:p>
    <w:p>
      <w:pPr>
        <w:numPr>
          <w:ilvl w:val="0"/>
          <w:numId w:val="1008"/>
        </w:numPr>
        <w:pStyle w:val="Compact"/>
      </w:pPr>
      <w:r>
        <w:rPr>
          <w:bCs/>
          <w:b/>
        </w:rPr>
        <w:t xml:space="preserve">Enhance Use Phase Efficiency:</w:t>
      </w:r>
      <w:r>
        <w:t xml:space="preserve"> </w:t>
      </w:r>
      <w:r>
        <w:t xml:space="preserve">Focus on product design for even lower power consumption during active and standby modes. Educate users on efficient usage.</w:t>
      </w:r>
    </w:p>
    <w:p>
      <w:pPr>
        <w:numPr>
          <w:ilvl w:val="0"/>
          <w:numId w:val="1008"/>
        </w:numPr>
        <w:pStyle w:val="Compact"/>
      </w:pPr>
      <w:r>
        <w:rPr>
          <w:bCs/>
          <w:b/>
        </w:rPr>
        <w:t xml:space="preserve">Decarbonize Production:</w:t>
      </w:r>
      <w:r>
        <w:t xml:space="preserve"> </w:t>
      </w:r>
      <w:r>
        <w:t xml:space="preserve">Invest further in renewable energy sources for manufacturing facilities in China beyond the current 50%, or procure high-quality renewable energy certificates. Optimize manufacturing processes to reduce overall energy intensity.</w:t>
      </w:r>
    </w:p>
    <w:p>
      <w:pPr>
        <w:numPr>
          <w:ilvl w:val="0"/>
          <w:numId w:val="1008"/>
        </w:numPr>
        <w:pStyle w:val="Compact"/>
      </w:pPr>
      <w:r>
        <w:rPr>
          <w:bCs/>
          <w:b/>
        </w:rPr>
        <w:t xml:space="preserve">Sustainable Material Sourcing:</w:t>
      </w:r>
      <w:r>
        <w:t xml:space="preserve"> </w:t>
      </w:r>
      <w:r>
        <w:t xml:space="preserve">Explore lower-carbon alternatives for high-impact components like batteries and PCBs. Investigate suppliers committed to sustainable practices and disclose their upstream emissions.</w:t>
      </w:r>
    </w:p>
    <w:p>
      <w:pPr>
        <w:numPr>
          <w:ilvl w:val="0"/>
          <w:numId w:val="1008"/>
        </w:numPr>
        <w:pStyle w:val="Compact"/>
      </w:pPr>
      <w:r>
        <w:rPr>
          <w:bCs/>
          <w:b/>
        </w:rPr>
        <w:t xml:space="preserve">Strengthen Circular Economy:</w:t>
      </w:r>
      <w:r>
        <w:t xml:space="preserve"> </w:t>
      </w:r>
      <w:r>
        <w:t xml:space="preserve">Expand the regional take-back program to ensure a higher recyclability rate beyond 70%, and explore material recovery and re-use opportunities. Design for disassembly to facilitate recycling.</w:t>
      </w:r>
    </w:p>
    <w:p>
      <w:pPr>
        <w:numPr>
          <w:ilvl w:val="0"/>
          <w:numId w:val="1008"/>
        </w:numPr>
        <w:pStyle w:val="Compact"/>
      </w:pPr>
      <w:r>
        <w:rPr>
          <w:bCs/>
          <w:b/>
        </w:rPr>
        <w:t xml:space="preserve">Supply Chain Engagement:</w:t>
      </w:r>
      <w:r>
        <w:t xml:space="preserve"> </w:t>
      </w:r>
      <w:r>
        <w:t xml:space="preserve">Engage with key suppliers to gather primary data on their emissions and encourage their decarbonization efforts.</w:t>
      </w:r>
    </w:p>
    <w:p>
      <w:r>
        <w:pict>
          <v:rect style="width:0;height:1.5pt" o:hralign="center" o:hrstd="t" o:hr="t"/>
        </w:pict>
      </w:r>
    </w:p>
    <w:p>
      <w:pPr>
        <w:pStyle w:val="FirstParagraph"/>
      </w:pPr>
      <w:r>
        <w:t xml:space="preserve">Confidential - Internal Use Only | Page</w:t>
      </w:r>
      <w:r>
        <w:t xml:space="preserve"> </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dqlgljwpyt</dc:title>
  <dc:creator/>
  <dc:description>Detailed Product Carbon Footprint (PCF) analysis for dqlgljwpyt, following GHG Protocol standards and 2026 LSR updates, performed by gryypdnwil for vveifsrrev.</dc:description>
  <dc:language>en</dc:language>
  <cp:keywords/>
  <dcterms:created xsi:type="dcterms:W3CDTF">2026-06-13T01:58:08Z</dcterms:created>
  <dcterms:modified xsi:type="dcterms:W3CDTF">2026-06-13T01:58:08Z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