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divownlduk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divownlduk</w:t>
      </w:r>
    </w:p>
    <w:p>
      <w:pPr>
        <w:pStyle w:val="BodyText"/>
      </w:pPr>
      <w:r>
        <w:rPr>
          <w:bCs/>
          <w:b/>
        </w:rPr>
        <w:t xml:space="preserve">Company:</w:t>
      </w:r>
      <w:r>
        <w:t xml:space="preserve"> </w:t>
      </w:r>
      <w:r>
        <w:t xml:space="preserve">irlwhemiqn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wmtzyvhhkf</w:t>
      </w:r>
    </w:p>
    <w:p>
      <w:pPr>
        <w:pStyle w:val="BodyText"/>
      </w:pPr>
      <w:r>
        <w:t xml:space="preserve">Disclaimer: This report is generated based on available data, industry standards, and the specific parameters provided. While every effort has been made to ensure accuracy, the actual carbon footprint may vary depending on real-time data and detailed site-specific measurements.</w:t>
      </w:r>
    </w:p>
    <w:bookmarkEnd w:id="20"/>
    <w:bookmarkStart w:id="21" w:name="Xbecac1f0e0f0534d33adafc5da20e74374b2a16"/>
    <w:p>
      <w:pPr>
        <w:pStyle w:val="Heading1"/>
      </w:pPr>
      <w:r>
        <w:t xml:space="preserve">Product Carbon Footprint Analysis for divownlduk</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divownlduk, manufactured by irlwhemiqn. The assessment adheres strictly to the GHG Protocol and incorporates the latest 2026 Land Sector and Removals (LSR) Standard. Our objective is to quantify the greenhouse gas emissions associated with the entire lifecycle of divownlduk, from raw material extraction to end-of-life, providing actionable insights for emission reduction. The analysis, conducted by Senior Sustainability Consultant wmtzyvhhkf, aims for at least 95% coverage for Scope 3 emissions, aligning with updated 2026 requirements. The total lifecycle carbon footprint for one functional unit of divownlduk is presented, highlighting key emission hotspots across its value chain.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provides a crucial metric for assessing the greenhouse gas (GHG) emissions attributable to a product throughout its entire lifecycle. This report serves as a comprehensive PCF analysis for divownlduk, empowering irlwhemiqn to make informed decisions towards achieving sustainability goals and complying with evolving regulatory landscapes.</w:t>
      </w:r>
    </w:p>
    <w:bookmarkEnd w:id="23"/>
    <w:bookmarkStart w:id="36" w:name="methodology"/>
    <w:p>
      <w:pPr>
        <w:pStyle w:val="Heading2"/>
      </w:pPr>
      <w:r>
        <w:t xml:space="preserve">2. Methodology</w:t>
      </w:r>
    </w:p>
    <w:p>
      <w:pPr>
        <w:pStyle w:val="FirstParagraph"/>
      </w:pPr>
      <w:r>
        <w:t xml:space="preserve">The PCF analysis for divownlduk strictly follows the five-step methodology prescribed by the GHG Protocol Product Standard, with specific adherence to the 2026 Land Sector and Removals (LSR) Standard for land use and carbon removals. All emissions are categorized into Scope 1 (direct), Scope 2 (purchased energy), and Scope 3 (value chain) to ensure comprehensive reporting.</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divownlduk, serving its intended purpose over its estimated lifespan.</w:t>
      </w:r>
    </w:p>
    <w:p>
      <w:pPr>
        <w:numPr>
          <w:ilvl w:val="0"/>
          <w:numId w:val="1001"/>
        </w:numPr>
        <w:pStyle w:val="Compact"/>
      </w:pPr>
      <w:r>
        <w:rPr>
          <w:bCs/>
          <w:b/>
        </w:rPr>
        <w:t xml:space="preserve">System Boundary:</w:t>
      </w:r>
      <w:r>
        <w:t xml:space="preserve"> </w:t>
      </w:r>
      <w:r>
        <w:t xml:space="preserve">The system boundary is set as "factory_gate," encompassing raw material acquisition, manufacturing, and transport to the factory gate. However, for a holistic PCF, the analysis extends to include the use phase and end-of-life treatment, providing a "cradle-to-grave" perspective where relevant data allows.</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co-production or multi-functional processes occur, economic allocation has been applied to distribute environmental burdens fairly to the product divownlduk.</w:t>
      </w:r>
    </w:p>
    <w:bookmarkEnd w:id="24"/>
    <w:bookmarkStart w:id="25" w:name="map-lifecycle-lci-inventory-stages"/>
    <w:p>
      <w:pPr>
        <w:pStyle w:val="Heading3"/>
      </w:pPr>
      <w:r>
        <w:t xml:space="preserve">2.2. Map Lifecycle (LCI Inventory Stages)</w:t>
      </w:r>
    </w:p>
    <w:p>
      <w:pPr>
        <w:pStyle w:val="FirstParagraph"/>
      </w:pPr>
      <w:r>
        <w:t xml:space="preserve">The lifecycle of divownlduk is mapped across the following stages, facilitating the collection of Life Cycle Inventory (LCI) data:</w:t>
      </w:r>
    </w:p>
    <w:p>
      <w:pPr>
        <w:numPr>
          <w:ilvl w:val="0"/>
          <w:numId w:val="1002"/>
        </w:numPr>
        <w:pStyle w:val="Compact"/>
      </w:pPr>
      <w:r>
        <w:rPr>
          <w:bCs/>
          <w:b/>
        </w:rPr>
        <w:t xml:space="preserve">Raw Material Acquisition:</w:t>
      </w:r>
      <w:r>
        <w:t xml:space="preserve"> </w:t>
      </w:r>
      <w:r>
        <w:t xml:space="preserve">Extraction and processing of all materials listed in the Detailed Bill of Materials.</w:t>
      </w:r>
    </w:p>
    <w:p>
      <w:pPr>
        <w:numPr>
          <w:ilvl w:val="0"/>
          <w:numId w:val="1002"/>
        </w:numPr>
        <w:pStyle w:val="Compact"/>
      </w:pPr>
      <w:r>
        <w:rPr>
          <w:bCs/>
          <w:b/>
        </w:rPr>
        <w:t xml:space="preserve">Manufacturing:</w:t>
      </w:r>
      <w:r>
        <w:t xml:space="preserve"> </w:t>
      </w:r>
      <w:r>
        <w:t xml:space="preserve">Production processes at irlwhemiqn\'s facilities in China, including energy consumption and direct emissions.</w:t>
      </w:r>
    </w:p>
    <w:p>
      <w:pPr>
        <w:numPr>
          <w:ilvl w:val="0"/>
          <w:numId w:val="1002"/>
        </w:numPr>
        <w:pStyle w:val="Compact"/>
      </w:pPr>
      <w:r>
        <w:rPr>
          <w:bCs/>
          <w:b/>
        </w:rPr>
        <w:t xml:space="preserve">Logistics (Transport to Factory Gate):</w:t>
      </w:r>
      <w:r>
        <w:t xml:space="preserve"> </w:t>
      </w:r>
      <w:r>
        <w:t xml:space="preserve">Transportation of raw materials and components to the final production site.</w:t>
      </w:r>
    </w:p>
    <w:p>
      <w:pPr>
        <w:numPr>
          <w:ilvl w:val="0"/>
          <w:numId w:val="1002"/>
        </w:numPr>
        <w:pStyle w:val="Compact"/>
      </w:pPr>
      <w:r>
        <w:rPr>
          <w:bCs/>
          <w:b/>
        </w:rPr>
        <w:t xml:space="preserve">Distribution (to Customer):</w:t>
      </w:r>
      <w:r>
        <w:t xml:space="preserve"> </w:t>
      </w:r>
      <w:r>
        <w:t xml:space="preserve">Transportation of the finished product to the end-user (post-factory gate).</w:t>
      </w:r>
    </w:p>
    <w:p>
      <w:pPr>
        <w:numPr>
          <w:ilvl w:val="0"/>
          <w:numId w:val="1002"/>
        </w:numPr>
        <w:pStyle w:val="Compact"/>
      </w:pPr>
      <w:r>
        <w:rPr>
          <w:bCs/>
          <w:b/>
        </w:rPr>
        <w:t xml:space="preserve">Use Phase:</w:t>
      </w:r>
      <w:r>
        <w:t xml:space="preserve"> </w:t>
      </w:r>
      <w:r>
        <w:t xml:space="preserve">Energy consumption and other impacts during the product\'s lifespan.</w:t>
      </w:r>
    </w:p>
    <w:p>
      <w:pPr>
        <w:numPr>
          <w:ilvl w:val="0"/>
          <w:numId w:val="1002"/>
        </w:numPr>
        <w:pStyle w:val="Compact"/>
      </w:pPr>
      <w:r>
        <w:rPr>
          <w:bCs/>
          <w:b/>
        </w:rPr>
        <w:t xml:space="preserve">End-of-Life:</w:t>
      </w:r>
      <w:r>
        <w:t xml:space="preserve"> </w:t>
      </w:r>
      <w:r>
        <w:t xml:space="preserve">Recycling, disposal, or recovery of materials at the end of the product\'s useful life.</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a combination of primary data provided by irlwhemiqn and secondary data from reputable databases. The Detailed Bill of Materials (BOM) was critical for high-accuracy material impact calculations.</w:t>
      </w:r>
    </w:p>
    <w:bookmarkStart w:id="26" w:name="Xe5da39736988d9d420bf5e83fd492ca256e702e"/>
    <w:p>
      <w:pPr>
        <w:pStyle w:val="Heading4"/>
      </w:pPr>
      <w:r>
        <w:t xml:space="preserve">Detailed Bill of Materials (BOM) - Provided as `wwejmjgf` data</w:t>
      </w:r>
    </w:p>
    <w:p>
      <w:pPr>
        <w:pStyle w:val="FirstParagraph"/>
      </w:pPr>
      <w:r>
        <w:t xml:space="preserve">The following table represents the material inputs for one functional unit of divownlduk, based on the provided BOM data, which ensures a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5.95 kgCO2e</w:t>
            </w:r>
          </w:p>
        </w:tc>
      </w:tr>
    </w:tbl>
    <w:bookmarkEnd w:id="26"/>
    <w:bookmarkStart w:id="27" w:name="energy-inputs-for-production"/>
    <w:p>
      <w:pPr>
        <w:pStyle w:val="Heading4"/>
      </w:pPr>
      <w:r>
        <w:t xml:space="preserve">Energy Inputs for Production</w:t>
      </w:r>
    </w:p>
    <w:p>
      <w:pPr>
        <w:numPr>
          <w:ilvl w:val="0"/>
          <w:numId w:val="1003"/>
        </w:numPr>
        <w:pStyle w:val="Compact"/>
      </w:pPr>
      <w:r>
        <w:rPr>
          <w:bCs/>
          <w:b/>
        </w:rPr>
        <w:t xml:space="preserve">Renewable Energy Usage (`pnddvsfdwt`):</w:t>
      </w:r>
      <w:r>
        <w:t xml:space="preserve"> </w:t>
      </w:r>
      <w:r>
        <w:t xml:space="preserve">60% of total electricity sourced from renewable energy.</w:t>
      </w:r>
    </w:p>
    <w:p>
      <w:pPr>
        <w:numPr>
          <w:ilvl w:val="0"/>
          <w:numId w:val="1003"/>
        </w:numPr>
        <w:pStyle w:val="Compact"/>
      </w:pPr>
      <w:r>
        <w:rPr>
          <w:bCs/>
          <w:b/>
        </w:rPr>
        <w:t xml:space="preserve">Energy Intensity (`ktulwfoxvq`):</w:t>
      </w:r>
      <w:r>
        <w:t xml:space="preserve"> </w:t>
      </w:r>
      <w:r>
        <w:t xml:space="preserve">15 kWh/unit.</w:t>
      </w:r>
    </w:p>
    <w:p>
      <w:pPr>
        <w:numPr>
          <w:ilvl w:val="0"/>
          <w:numId w:val="1003"/>
        </w:numPr>
        <w:pStyle w:val="Compact"/>
      </w:pPr>
      <w:r>
        <w:rPr>
          <w:bCs/>
          <w:b/>
        </w:rPr>
        <w:t xml:space="preserve">Grid Electricity Emission Factor (China):</w:t>
      </w:r>
      <w:r>
        <w:t xml:space="preserve"> </w:t>
      </w:r>
      <w:r>
        <w:t xml:space="preserve">0.6 kgCO2e/kWh (estimated from industry standards like IEA/Ecoinvent)</w:t>
      </w:r>
    </w:p>
    <w:p>
      <w:pPr>
        <w:numPr>
          <w:ilvl w:val="0"/>
          <w:numId w:val="1003"/>
        </w:numPr>
        <w:pStyle w:val="Compact"/>
      </w:pPr>
      <w:r>
        <w:rPr>
          <w:bCs/>
          <w:b/>
        </w:rPr>
        <w:t xml:space="preserve">Renewable Energy Emission Factor:</w:t>
      </w:r>
      <w:r>
        <w:t xml:space="preserve"> </w:t>
      </w:r>
      <w:r>
        <w:t xml:space="preserve">0.02 kgCO2e/kWh (accounting for upstream emissions, e.g., manufacturing and maintenance of renewable infrastructure).</w:t>
      </w:r>
    </w:p>
    <w:bookmarkEnd w:id="27"/>
    <w:bookmarkStart w:id="28" w:name="logistics-data"/>
    <w:p>
      <w:pPr>
        <w:pStyle w:val="Heading4"/>
      </w:pPr>
      <w:r>
        <w:t xml:space="preserve">Logistics Data</w:t>
      </w:r>
    </w:p>
    <w:p>
      <w:pPr>
        <w:numPr>
          <w:ilvl w:val="0"/>
          <w:numId w:val="1004"/>
        </w:numPr>
        <w:pStyle w:val="Compact"/>
      </w:pPr>
      <w:r>
        <w:rPr>
          <w:bCs/>
          <w:b/>
        </w:rPr>
        <w:t xml:space="preserve">Transport Mode (`Select Mode`):</w:t>
      </w:r>
      <w:r>
        <w:t xml:space="preserve"> </w:t>
      </w:r>
      <w:r>
        <w:t xml:space="preserve">Road Freight (Primary mode for European focused supply chain).</w:t>
      </w:r>
    </w:p>
    <w:p>
      <w:pPr>
        <w:numPr>
          <w:ilvl w:val="0"/>
          <w:numId w:val="1004"/>
        </w:numPr>
        <w:pStyle w:val="Compact"/>
      </w:pPr>
      <w:r>
        <w:rPr>
          <w:bCs/>
          <w:b/>
        </w:rPr>
        <w:t xml:space="preserve">Transport Distance (`isiwgtthtv`):</w:t>
      </w:r>
      <w:r>
        <w:t xml:space="preserve"> </w:t>
      </w:r>
      <w:r>
        <w:t xml:space="preserve">1500 km (average distance for components/materials).</w:t>
      </w:r>
    </w:p>
    <w:p>
      <w:pPr>
        <w:numPr>
          <w:ilvl w:val="0"/>
          <w:numId w:val="1004"/>
        </w:numPr>
        <w:pStyle w:val="Compact"/>
      </w:pPr>
      <w:r>
        <w:rPr>
          <w:bCs/>
          <w:b/>
        </w:rPr>
        <w:t xml:space="preserve">Last-Mile Delivery Channel (`Delivery Type`):</w:t>
      </w:r>
      <w:r>
        <w:t xml:space="preserve"> </w:t>
      </w:r>
      <w:r>
        <w:t xml:space="preserve">Standard Van Delivery (for finished product distribution).</w:t>
      </w:r>
    </w:p>
    <w:bookmarkEnd w:id="28"/>
    <w:bookmarkStart w:id="29" w:name="use-phase-data"/>
    <w:p>
      <w:pPr>
        <w:pStyle w:val="Heading4"/>
      </w:pPr>
      <w:r>
        <w:t xml:space="preserve">Use Phase Data</w:t>
      </w:r>
    </w:p>
    <w:p>
      <w:pPr>
        <w:numPr>
          <w:ilvl w:val="0"/>
          <w:numId w:val="1005"/>
        </w:numPr>
        <w:pStyle w:val="Compact"/>
      </w:pPr>
      <w:r>
        <w:rPr>
          <w:bCs/>
          <w:b/>
        </w:rPr>
        <w:t xml:space="preserve">Product Lifespan (`myyixyoksh`):</w:t>
      </w:r>
      <w:r>
        <w:t xml:space="preserve"> </w:t>
      </w:r>
      <w:r>
        <w:t xml:space="preserve">5 years.</w:t>
      </w:r>
    </w:p>
    <w:p>
      <w:pPr>
        <w:numPr>
          <w:ilvl w:val="0"/>
          <w:numId w:val="1005"/>
        </w:numPr>
        <w:pStyle w:val="Compact"/>
      </w:pPr>
      <w:r>
        <w:rPr>
          <w:bCs/>
          <w:b/>
        </w:rPr>
        <w:t xml:space="preserve">Energy Consumption in Use (`xdyeuxggyt`):</w:t>
      </w:r>
      <w:r>
        <w:t xml:space="preserve"> </w:t>
      </w:r>
      <w:r>
        <w:t xml:space="preserve">10 kWh/year.</w:t>
      </w:r>
    </w:p>
    <w:bookmarkEnd w:id="29"/>
    <w:bookmarkStart w:id="30" w:name="end-of-life-eol-data"/>
    <w:p>
      <w:pPr>
        <w:pStyle w:val="Heading4"/>
      </w:pPr>
      <w:r>
        <w:t xml:space="preserve">End-of-Life (EoL) Data</w:t>
      </w:r>
    </w:p>
    <w:p>
      <w:pPr>
        <w:numPr>
          <w:ilvl w:val="0"/>
          <w:numId w:val="1006"/>
        </w:numPr>
        <w:pStyle w:val="Compact"/>
      </w:pPr>
      <w:r>
        <w:rPr>
          <w:bCs/>
          <w:b/>
        </w:rPr>
        <w:t xml:space="preserve">Recyclability Percentage (`svnlqzjpys`):</w:t>
      </w:r>
      <w:r>
        <w:t xml:space="preserve"> </w:t>
      </w:r>
      <w:r>
        <w:t xml:space="preserve">80%.</w:t>
      </w:r>
    </w:p>
    <w:p>
      <w:pPr>
        <w:numPr>
          <w:ilvl w:val="0"/>
          <w:numId w:val="1006"/>
        </w:numPr>
        <w:pStyle w:val="Compact"/>
      </w:pPr>
      <w:r>
        <w:rPr>
          <w:bCs/>
          <w:b/>
        </w:rPr>
        <w:t xml:space="preserve">Circular/Take-back Programs (`gspvwtvmfi`):</w:t>
      </w:r>
      <w:r>
        <w:t xml:space="preserve"> </w:t>
      </w:r>
      <w:r>
        <w:t xml:space="preserve">Yes, an established take-back program is in place, facilitating the high recyclability rate.</w:t>
      </w:r>
    </w:p>
    <w:bookmarkEnd w:id="30"/>
    <w:bookmarkEnd w:id="31"/>
    <w:bookmarkStart w:id="34"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activity data (e.g., kg of material, kWh of energy, tkm of transport) by relevant emission factors. Industry-standard emission factors from databases like Ecoinvent and DEFRA are used for robust calculations.</w:t>
      </w:r>
    </w:p>
    <w:bookmarkStart w:id="32" w:name="emission-factor-sources"/>
    <w:p>
      <w:pPr>
        <w:pStyle w:val="Heading4"/>
      </w:pPr>
      <w:r>
        <w:t xml:space="preserve">Emission Factor Sources:</w:t>
      </w:r>
    </w:p>
    <w:p>
      <w:pPr>
        <w:numPr>
          <w:ilvl w:val="0"/>
          <w:numId w:val="1007"/>
        </w:numPr>
        <w:pStyle w:val="Compact"/>
      </w:pPr>
      <w:r>
        <w:t xml:space="preserve">Material Emission Factors: Primarily based on Ecoinvent 3.x and relevant industry reports.</w:t>
      </w:r>
    </w:p>
    <w:p>
      <w:pPr>
        <w:numPr>
          <w:ilvl w:val="0"/>
          <w:numId w:val="1007"/>
        </w:numPr>
        <w:pStyle w:val="Compact"/>
      </w:pPr>
      <w:r>
        <w:t xml:space="preserve">Energy Emission Factors: IEA (International Energy Agency) for grid electricity, specific regional data where available.</w:t>
      </w:r>
    </w:p>
    <w:p>
      <w:pPr>
        <w:numPr>
          <w:ilvl w:val="0"/>
          <w:numId w:val="1007"/>
        </w:numPr>
        <w:pStyle w:val="Compact"/>
      </w:pPr>
      <w:r>
        <w:t xml:space="preserve">Transport Emission Factors: DEFRA (Department for Environment, Food &amp; Rural Affairs) and Ecoinvent for various modes.</w:t>
      </w:r>
    </w:p>
    <w:p>
      <w:pPr>
        <w:numPr>
          <w:ilvl w:val="0"/>
          <w:numId w:val="1007"/>
        </w:numPr>
        <w:pStyle w:val="Compact"/>
      </w:pPr>
      <w:r>
        <w:t xml:space="preserve">End-of-Life Emission Factors: Based on specific waste management processes (recycling, incineration, landfill) from Ecoinvent and IPCC guidelines.</w:t>
      </w:r>
    </w:p>
    <w:bookmarkEnd w:id="32"/>
    <w:bookmarkStart w:id="33" w:name="ghg-protocol-scope-categorization"/>
    <w:p>
      <w:pPr>
        <w:pStyle w:val="Heading4"/>
      </w:pPr>
      <w:r>
        <w:t xml:space="preserve">GHG Protocol Scope Categorization:</w:t>
      </w:r>
    </w:p>
    <w:p>
      <w:pPr>
        <w:numPr>
          <w:ilvl w:val="0"/>
          <w:numId w:val="1008"/>
        </w:numPr>
        <w:pStyle w:val="Compact"/>
      </w:pPr>
      <w:r>
        <w:rPr>
          <w:bCs/>
          <w:b/>
        </w:rPr>
        <w:t xml:space="preserve">Scope 1:</w:t>
      </w:r>
      <w:r>
        <w:t xml:space="preserve"> </w:t>
      </w:r>
      <w:r>
        <w:t xml:space="preserve">Direct emissions from owned or controlled sources (e.g., fuel combustion in company vehicles or facilities if not powered by grid). Given the factory_gate boundary and focus, direct manufacturing emissions for divownlduk would typically fall here if applicable, though primarily covered by Scope 2/3 for purchased energy/materials.</w:t>
      </w:r>
    </w:p>
    <w:p>
      <w:pPr>
        <w:numPr>
          <w:ilvl w:val="0"/>
          <w:numId w:val="1008"/>
        </w:numPr>
        <w:pStyle w:val="Compact"/>
      </w:pPr>
      <w:r>
        <w:rPr>
          <w:bCs/>
          <w:b/>
        </w:rPr>
        <w:t xml:space="preserve">Scope 2:</w:t>
      </w:r>
      <w:r>
        <w:t xml:space="preserve"> </w:t>
      </w:r>
      <w:r>
        <w:t xml:space="preserve">Indirect emissions from the generation of purchased energy (e.g., electricity, heat, steam).</w:t>
      </w:r>
    </w:p>
    <w:p>
      <w:pPr>
        <w:numPr>
          <w:ilvl w:val="0"/>
          <w:numId w:val="1008"/>
        </w:numPr>
        <w:pStyle w:val="Compact"/>
      </w:pPr>
      <w:r>
        <w:rPr>
          <w:bCs/>
          <w:b/>
        </w:rPr>
        <w:t xml:space="preserve">Scope 3:</w:t>
      </w:r>
      <w:r>
        <w:t xml:space="preserve"> </w:t>
      </w:r>
      <w:r>
        <w:t xml:space="preserve">All other indirect emissions that occur in a company\'s value chain, both upstream and downstream. This is the most significant scope for a product PCF and includes:</w:t>
      </w:r>
    </w:p>
    <w:p>
      <w:pPr>
        <w:numPr>
          <w:ilvl w:val="1"/>
          <w:numId w:val="1009"/>
        </w:numPr>
        <w:pStyle w:val="Compact"/>
      </w:pPr>
      <w:r>
        <w:t xml:space="preserve">Raw Material Acquisition (Upstream)</w:t>
      </w:r>
    </w:p>
    <w:p>
      <w:pPr>
        <w:numPr>
          <w:ilvl w:val="1"/>
          <w:numId w:val="1009"/>
        </w:numPr>
        <w:pStyle w:val="Compact"/>
      </w:pPr>
      <w:r>
        <w:t xml:space="preserve">Transport (Upstream &amp; Downstream)</w:t>
      </w:r>
    </w:p>
    <w:p>
      <w:pPr>
        <w:numPr>
          <w:ilvl w:val="1"/>
          <w:numId w:val="1009"/>
        </w:numPr>
        <w:pStyle w:val="Compact"/>
      </w:pPr>
      <w:r>
        <w:t xml:space="preserve">Manufacturing (partially, if third-party operations)</w:t>
      </w:r>
    </w:p>
    <w:p>
      <w:pPr>
        <w:numPr>
          <w:ilvl w:val="1"/>
          <w:numId w:val="1009"/>
        </w:numPr>
        <w:pStyle w:val="Compact"/>
      </w:pPr>
      <w:r>
        <w:t xml:space="preserve">Use Phase (Downstream)</w:t>
      </w:r>
    </w:p>
    <w:p>
      <w:pPr>
        <w:numPr>
          <w:ilvl w:val="1"/>
          <w:numId w:val="1009"/>
        </w:numPr>
        <w:pStyle w:val="Compact"/>
      </w:pPr>
      <w:r>
        <w:t xml:space="preserve">End-of-Life (Downstream)</w:t>
      </w:r>
    </w:p>
    <w:bookmarkEnd w:id="33"/>
    <w:bookmarkEnd w:id="34"/>
    <w:bookmarkStart w:id="35" w:name="review-report"/>
    <w:p>
      <w:pPr>
        <w:pStyle w:val="Heading3"/>
      </w:pPr>
      <w:r>
        <w:t xml:space="preserve">2.5. Review &amp; Report</w:t>
      </w:r>
    </w:p>
    <w:p>
      <w:pPr>
        <w:pStyle w:val="FirstParagraph"/>
      </w:pPr>
      <w:r>
        <w:t xml:space="preserve">The final step involves reviewing the calculations for accuracy and completeness, identifying emission hotspots, and reporting the findings. Reliability is assessed based on data quality and assumptions made.</w:t>
      </w:r>
    </w:p>
    <w:p>
      <w:r>
        <w:pict>
          <v:rect style="width:0;height:1.5pt" o:hralign="center" o:hrstd="t" o:hr="t"/>
        </w:pict>
      </w:r>
    </w:p>
    <w:bookmarkEnd w:id="35"/>
    <w:bookmarkEnd w:id="36"/>
    <w:bookmarkStart w:id="45" w:name="X8f11751ce921701bcc8b9d1e04b5738855a660b"/>
    <w:p>
      <w:pPr>
        <w:pStyle w:val="Heading2"/>
      </w:pPr>
      <w:r>
        <w:t xml:space="preserve">3. Product Carbon Footprint Calculation and Analysis</w:t>
      </w:r>
    </w:p>
    <w:bookmarkStart w:id="37" w:name="material-acquisition-scope-3---upstream"/>
    <w:p>
      <w:pPr>
        <w:pStyle w:val="Heading3"/>
      </w:pPr>
      <w:r>
        <w:t xml:space="preserve">3.1. Material Acquisition (Scope 3 - Upstream)</w:t>
      </w:r>
    </w:p>
    <w:p>
      <w:pPr>
        <w:pStyle w:val="FirstParagraph"/>
      </w:pPr>
      <w:r>
        <w:t xml:space="preserve">Based on the provided BOM data, the material acquisition phase contributes significantly to the overall footprint. The calculations for the example BOM are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Printed Circuit Board (PCB)</w:t>
            </w:r>
          </w:p>
        </w:tc>
        <w:tc>
          <w:tcPr/>
          <w:p>
            <w:pPr>
              <w:pStyle w:val="Compact"/>
              <w:jc w:val="left"/>
            </w:pPr>
            <w:r>
              <w:t xml:space="preserve">0.1 (unit)</w:t>
            </w:r>
          </w:p>
        </w:tc>
        <w:tc>
          <w:tcPr/>
          <w:p>
            <w:pPr>
              <w:pStyle w:val="Compact"/>
              <w:jc w:val="left"/>
            </w:pPr>
            <w:r>
              <w:t xml:space="preserve">5.0 (per unit)</w:t>
            </w:r>
          </w:p>
        </w:tc>
        <w:tc>
          <w:tcPr/>
          <w:p>
            <w:pPr>
              <w:pStyle w:val="Compact"/>
              <w:jc w:val="left"/>
            </w:pPr>
            <w:r>
              <w:t xml:space="preserve">0.50</w:t>
            </w:r>
          </w:p>
        </w:tc>
      </w:tr>
      <w:tr>
        <w:tc>
          <w:tcPr/>
          <w:p>
            <w:pPr>
              <w:pStyle w:val="Compact"/>
              <w:jc w:val="left"/>
            </w:pPr>
            <w:r>
              <w:t xml:space="preserve">Lithium-ion Battery</w:t>
            </w:r>
          </w:p>
        </w:tc>
        <w:tc>
          <w:tcPr/>
          <w:p>
            <w:pPr>
              <w:pStyle w:val="Compact"/>
              <w:jc w:val="left"/>
            </w:pPr>
            <w:r>
              <w:t xml:space="preserve">0.05</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2.5</w:t>
            </w:r>
          </w:p>
        </w:tc>
        <w:tc>
          <w:tcPr/>
          <w:p>
            <w:pPr>
              <w:pStyle w:val="Compact"/>
              <w:jc w:val="left"/>
            </w:pPr>
            <w:r>
              <w:t xml:space="preserve">0.05</w:t>
            </w:r>
          </w:p>
        </w:tc>
      </w:tr>
      <w:tr>
        <w:tc>
          <w:tcPr>
            <w:gridSpan w:val="3"/>
          </w:tcPr>
          <w:p>
            <w:pPr>
              <w:pStyle w:val="Compact"/>
              <w:jc w:val="right"/>
            </w:pPr>
            <w:r>
              <w:rPr>
                <w:bCs/>
                <w:b/>
              </w:rPr>
              <w:t xml:space="preserve">Total Material Acquisition Emissions:</w:t>
            </w:r>
          </w:p>
        </w:tc>
        <w:tc>
          <w:tcPr/>
          <w:p>
            <w:pPr>
              <w:pStyle w:val="Compact"/>
              <w:jc w:val="left"/>
            </w:pPr>
            <w:r>
              <w:rPr>
                <w:bCs/>
                <w:b/>
              </w:rPr>
              <w:t xml:space="preserve">5.95 kgCO2e</w:t>
            </w:r>
          </w:p>
        </w:tc>
      </w:tr>
    </w:tbl>
    <w:bookmarkEnd w:id="37"/>
    <w:bookmarkStart w:id="38" w:name="manufacturing-scope-2-scope-3---upstream"/>
    <w:p>
      <w:pPr>
        <w:pStyle w:val="Heading3"/>
      </w:pPr>
      <w:r>
        <w:t xml:space="preserve">3.2. Manufacturing (Scope 2 &amp; Scope 3 - Upstream)</w:t>
      </w:r>
    </w:p>
    <w:p>
      <w:pPr>
        <w:pStyle w:val="FirstParagraph"/>
      </w:pPr>
      <w:r>
        <w:t xml:space="preserve">The manufacturing process\'s primary impact comes from electricity consumption. Given the geographic scope (China) and renewable energy usage:</w:t>
      </w:r>
    </w:p>
    <w:p>
      <w:pPr>
        <w:numPr>
          <w:ilvl w:val="0"/>
          <w:numId w:val="1010"/>
        </w:numPr>
        <w:pStyle w:val="Compact"/>
      </w:pPr>
      <w:r>
        <w:t xml:space="preserve">Total Energy Intensity: 15 kWh/unit (`ktulwfoxvq`)</w:t>
      </w:r>
    </w:p>
    <w:p>
      <w:pPr>
        <w:numPr>
          <w:ilvl w:val="0"/>
          <w:numId w:val="1010"/>
        </w:numPr>
        <w:pStyle w:val="Compact"/>
      </w:pPr>
      <w:r>
        <w:t xml:space="preserve">Renewable Energy Usage: 60% (`pnddvsfdwt`)</w:t>
      </w:r>
    </w:p>
    <w:p>
      <w:pPr>
        <w:numPr>
          <w:ilvl w:val="0"/>
          <w:numId w:val="1010"/>
        </w:numPr>
        <w:pStyle w:val="Compact"/>
      </w:pPr>
      <w:r>
        <w:t xml:space="preserve">Non-Renewable Energy Usage: 40% (1 - 0.60)</w:t>
      </w:r>
    </w:p>
    <w:p>
      <w:pPr>
        <w:pStyle w:val="FirstParagraph"/>
      </w:pPr>
      <w:r>
        <w:t xml:space="preserve">Calculations:</w:t>
      </w:r>
    </w:p>
    <w:p>
      <w:pPr>
        <w:numPr>
          <w:ilvl w:val="0"/>
          <w:numId w:val="1011"/>
        </w:numPr>
        <w:pStyle w:val="Compact"/>
      </w:pPr>
      <w:r>
        <w:t xml:space="preserve">Non-renewable electricity consumed: 15 kWh/unit * 0.40 = 6 kWh/unit</w:t>
      </w:r>
    </w:p>
    <w:p>
      <w:pPr>
        <w:numPr>
          <w:ilvl w:val="0"/>
          <w:numId w:val="1011"/>
        </w:numPr>
        <w:pStyle w:val="Compact"/>
      </w:pPr>
      <w:r>
        <w:t xml:space="preserve">Renewable electricity consumed: 15 kWh/unit * 0.60 = 9 kWh/unit</w:t>
      </w:r>
    </w:p>
    <w:p>
      <w:pPr>
        <w:numPr>
          <w:ilvl w:val="0"/>
          <w:numId w:val="1011"/>
        </w:numPr>
        <w:pStyle w:val="Compact"/>
      </w:pPr>
      <w:r>
        <w:t xml:space="preserve">Emissions from non-renewable electricity (Scope 2): 6 kWh/unit * 0.6 kgCO2e/kWh = 3.60 kgCO2e</w:t>
      </w:r>
    </w:p>
    <w:p>
      <w:pPr>
        <w:numPr>
          <w:ilvl w:val="0"/>
          <w:numId w:val="1011"/>
        </w:numPr>
        <w:pStyle w:val="Compact"/>
      </w:pPr>
      <w:r>
        <w:t xml:space="preserve">Emissions from renewable electricity (Scope 2 - residual): 9 kWh/unit * 0.02 kgCO2e/kWh = 0.18 kgCO2e</w:t>
      </w:r>
    </w:p>
    <w:p>
      <w:pPr>
        <w:numPr>
          <w:ilvl w:val="0"/>
          <w:numId w:val="1011"/>
        </w:numPr>
        <w:pStyle w:val="Compact"/>
      </w:pPr>
      <w:r>
        <w:rPr>
          <w:bCs/>
          <w:b/>
        </w:rPr>
        <w:t xml:space="preserve">Total Manufacturing Energy Emissions:</w:t>
      </w:r>
      <w:r>
        <w:t xml:space="preserve"> </w:t>
      </w:r>
      <w:r>
        <w:t xml:space="preserve">3.60 + 0.18 =</w:t>
      </w:r>
      <w:r>
        <w:t xml:space="preserve"> </w:t>
      </w:r>
      <w:r>
        <w:rPr>
          <w:bCs/>
          <w:b/>
        </w:rPr>
        <w:t xml:space="preserve">3.78 kgCO2e</w:t>
      </w:r>
    </w:p>
    <w:bookmarkEnd w:id="38"/>
    <w:bookmarkStart w:id="41" w:name="transport-scope-3---upstream-downstream"/>
    <w:p>
      <w:pPr>
        <w:pStyle w:val="Heading3"/>
      </w:pPr>
      <w:r>
        <w:t xml:space="preserve">3.3. Transport (Scope 3 - Upstream &amp; Downstream)</w:t>
      </w:r>
    </w:p>
    <w:bookmarkStart w:id="39" w:name="X6a0b0742a712c4c36fa6156021a7b4bd1f3f6ad"/>
    <w:p>
      <w:pPr>
        <w:pStyle w:val="Heading4"/>
      </w:pPr>
      <w:r>
        <w:t xml:space="preserve">Upstream Transport (Components to Factory Gate)</w:t>
      </w:r>
    </w:p>
    <w:p>
      <w:pPr>
        <w:numPr>
          <w:ilvl w:val="0"/>
          <w:numId w:val="1012"/>
        </w:numPr>
        <w:pStyle w:val="Compact"/>
      </w:pPr>
      <w:r>
        <w:t xml:space="preserve">Transport Mode: Road Freight (`Select Mode`)</w:t>
      </w:r>
    </w:p>
    <w:p>
      <w:pPr>
        <w:numPr>
          <w:ilvl w:val="0"/>
          <w:numId w:val="1012"/>
        </w:numPr>
        <w:pStyle w:val="Compact"/>
      </w:pPr>
      <w:r>
        <w:t xml:space="preserve">Transport Distance: 1500 km (`isiwgtthtv`)</w:t>
      </w:r>
    </w:p>
    <w:p>
      <w:pPr>
        <w:numPr>
          <w:ilvl w:val="0"/>
          <w:numId w:val="1012"/>
        </w:numPr>
        <w:pStyle w:val="Compact"/>
      </w:pPr>
      <w:r>
        <w:t xml:space="preserve">Assumed average weight of components per unit: 1 kg (sum of BOM materials)</w:t>
      </w:r>
    </w:p>
    <w:p>
      <w:pPr>
        <w:numPr>
          <w:ilvl w:val="0"/>
          <w:numId w:val="1012"/>
        </w:numPr>
        <w:pStyle w:val="Compact"/>
      </w:pPr>
      <w:r>
        <w:t xml:space="preserve">Emission Factor for Road Freight: 0.09 kgCO2e/tkm (tons-kilometer)</w:t>
      </w:r>
    </w:p>
    <w:p>
      <w:pPr>
        <w:pStyle w:val="FirstParagraph"/>
      </w:pPr>
      <w:r>
        <w:t xml:space="preserve">Calculations:</w:t>
      </w:r>
    </w:p>
    <w:p>
      <w:pPr>
        <w:numPr>
          <w:ilvl w:val="0"/>
          <w:numId w:val="1013"/>
        </w:numPr>
        <w:pStyle w:val="Compact"/>
      </w:pPr>
      <w:r>
        <w:t xml:space="preserve">Emissions: 1 kg (0.001 tons) * 1500 km * 0.09 kgCO2e/tkm = 0.135 kgCO2e</w:t>
      </w:r>
    </w:p>
    <w:p>
      <w:pPr>
        <w:numPr>
          <w:ilvl w:val="0"/>
          <w:numId w:val="1013"/>
        </w:numPr>
        <w:pStyle w:val="Compact"/>
      </w:pPr>
      <w:r>
        <w:rPr>
          <w:bCs/>
          <w:b/>
        </w:rPr>
        <w:t xml:space="preserve">Total Upstream Transport Emissions: 0.135 kgCO2e</w:t>
      </w:r>
    </w:p>
    <w:bookmarkEnd w:id="39"/>
    <w:bookmarkStart w:id="40" w:name="Xbff8a415b6b17acbb556111cf6a5dabd0af0d79"/>
    <w:p>
      <w:pPr>
        <w:pStyle w:val="Heading4"/>
      </w:pPr>
      <w:r>
        <w:t xml:space="preserve">Downstream Transport (Last-Mile Delivery to Customer)</w:t>
      </w:r>
    </w:p>
    <w:p>
      <w:pPr>
        <w:numPr>
          <w:ilvl w:val="0"/>
          <w:numId w:val="1014"/>
        </w:numPr>
        <w:pStyle w:val="Compact"/>
      </w:pPr>
      <w:r>
        <w:t xml:space="preserve">Last-Mile Delivery Channel: Standard Van Delivery (`Delivery Type`)</w:t>
      </w:r>
    </w:p>
    <w:p>
      <w:pPr>
        <w:numPr>
          <w:ilvl w:val="0"/>
          <w:numId w:val="1014"/>
        </w:numPr>
        <w:pStyle w:val="Compact"/>
      </w:pPr>
      <w:r>
        <w:t xml:space="preserve">Assumed average last-mile distance: 50 km per unit (example)</w:t>
      </w:r>
    </w:p>
    <w:p>
      <w:pPr>
        <w:numPr>
          <w:ilvl w:val="0"/>
          <w:numId w:val="1014"/>
        </w:numPr>
        <w:pStyle w:val="Compact"/>
      </w:pPr>
      <w:r>
        <w:t xml:space="preserve">Emission Factor for Standard Van Delivery: 0.2 kgCO2e/km (per delivery van kilometer, assuming full load and allocation)</w:t>
      </w:r>
    </w:p>
    <w:p>
      <w:pPr>
        <w:numPr>
          <w:ilvl w:val="0"/>
          <w:numId w:val="1014"/>
        </w:numPr>
        <w:pStyle w:val="Compact"/>
      </w:pPr>
      <w:r>
        <w:t xml:space="preserve">For simplicity, assuming 1 unit delivery allocation: 0.2 kgCO2e/km * 50 km = 10.0 kgCO2e. However, for a single unit, a more accurate factor would be per package, or a very small fraction of the total van km. Let\'s use a per-package factor for this report based on average delivery, e.g., 0.5 kgCO2e/package (encompassing a share of the van\'s emissions for a typical package).</w:t>
      </w:r>
    </w:p>
    <w:p>
      <w:pPr>
        <w:pStyle w:val="FirstParagraph"/>
      </w:pPr>
      <w:r>
        <w:t xml:space="preserve">Calculations:</w:t>
      </w:r>
    </w:p>
    <w:p>
      <w:pPr>
        <w:numPr>
          <w:ilvl w:val="0"/>
          <w:numId w:val="1015"/>
        </w:numPr>
        <w:pStyle w:val="Compact"/>
      </w:pPr>
      <w:r>
        <w:t xml:space="preserve">Emissions:</w:t>
      </w:r>
      <w:r>
        <w:t xml:space="preserve"> </w:t>
      </w:r>
      <w:r>
        <w:rPr>
          <w:bCs/>
          <w:b/>
        </w:rPr>
        <w:t xml:space="preserve">0.50 kgCO2e</w:t>
      </w:r>
      <w:r>
        <w:t xml:space="preserve"> </w:t>
      </w:r>
      <w:r>
        <w:t xml:space="preserve">(using an average per-package emission factor for last-mile delivery, acknowledging variability)</w:t>
      </w:r>
    </w:p>
    <w:p>
      <w:pPr>
        <w:pStyle w:val="FirstParagraph"/>
      </w:pPr>
      <w:r>
        <w:rPr>
          <w:bCs/>
          <w:b/>
        </w:rPr>
        <w:t xml:space="preserve">Total Transport Emissions:</w:t>
      </w:r>
      <w:r>
        <w:t xml:space="preserve"> </w:t>
      </w:r>
      <w:r>
        <w:t xml:space="preserve">0.135 kgCO2e (Upstream) + 0.50 kgCO2e (Downstream) =</w:t>
      </w:r>
      <w:r>
        <w:t xml:space="preserve"> </w:t>
      </w:r>
      <w:r>
        <w:rPr>
          <w:bCs/>
          <w:b/>
        </w:rPr>
        <w:t xml:space="preserve">0.635 kgCO2e</w:t>
      </w:r>
    </w:p>
    <w:bookmarkEnd w:id="40"/>
    <w:bookmarkEnd w:id="41"/>
    <w:bookmarkStart w:id="42" w:name="use-phase-scope-3---downstream"/>
    <w:p>
      <w:pPr>
        <w:pStyle w:val="Heading3"/>
      </w:pPr>
      <w:r>
        <w:t xml:space="preserve">3.4. Use Phase (Scope 3 - Downstream)</w:t>
      </w:r>
    </w:p>
    <w:p>
      <w:pPr>
        <w:pStyle w:val="FirstParagraph"/>
      </w:pPr>
      <w:r>
        <w:t xml:space="preserve">The use phase is calculated based on the product\'s lifespan and energy consumption:</w:t>
      </w:r>
    </w:p>
    <w:p>
      <w:pPr>
        <w:numPr>
          <w:ilvl w:val="0"/>
          <w:numId w:val="1016"/>
        </w:numPr>
        <w:pStyle w:val="Compact"/>
      </w:pPr>
      <w:r>
        <w:t xml:space="preserve">Product Lifespan: 5 years (`myyixyoksh`)</w:t>
      </w:r>
    </w:p>
    <w:p>
      <w:pPr>
        <w:numPr>
          <w:ilvl w:val="0"/>
          <w:numId w:val="1016"/>
        </w:numPr>
        <w:pStyle w:val="Compact"/>
      </w:pPr>
      <w:r>
        <w:t xml:space="preserve">Energy Consumption in Use: 10 kWh/year (`xdyeuxggyt`)</w:t>
      </w:r>
    </w:p>
    <w:p>
      <w:pPr>
        <w:numPr>
          <w:ilvl w:val="0"/>
          <w:numId w:val="1016"/>
        </w:numPr>
        <w:pStyle w:val="Compact"/>
      </w:pPr>
      <w:r>
        <w:t xml:space="preserve">Total Energy Consumption: 10 kWh/year * 5 years = 50 kWh</w:t>
      </w:r>
    </w:p>
    <w:p>
      <w:pPr>
        <w:numPr>
          <w:ilvl w:val="0"/>
          <w:numId w:val="1016"/>
        </w:numPr>
        <w:pStyle w:val="Compact"/>
      </w:pPr>
      <w:r>
        <w:t xml:space="preserve">Assumed electricity grid mix for end-user (e.g., European average): 0.3 kgCO2e/kWh (estimated from IEA/Ecoinvent)</w:t>
      </w:r>
    </w:p>
    <w:p>
      <w:pPr>
        <w:pStyle w:val="FirstParagraph"/>
      </w:pPr>
      <w:r>
        <w:t xml:space="preserve">Calculations:</w:t>
      </w:r>
    </w:p>
    <w:p>
      <w:pPr>
        <w:numPr>
          <w:ilvl w:val="0"/>
          <w:numId w:val="1017"/>
        </w:numPr>
        <w:pStyle w:val="Compact"/>
      </w:pPr>
      <w:r>
        <w:t xml:space="preserve">Emissions: 50 kWh * 0.3 kgCO2e/kWh =</w:t>
      </w:r>
      <w:r>
        <w:t xml:space="preserve"> </w:t>
      </w:r>
      <w:r>
        <w:rPr>
          <w:bCs/>
          <w:b/>
        </w:rPr>
        <w:t xml:space="preserve">15.00 kgCO2e</w:t>
      </w:r>
    </w:p>
    <w:bookmarkEnd w:id="42"/>
    <w:bookmarkStart w:id="43" w:name="end-of-life-eol-scope-3---downstream"/>
    <w:p>
      <w:pPr>
        <w:pStyle w:val="Heading3"/>
      </w:pPr>
      <w:r>
        <w:t xml:space="preserve">3.5. End-of-Life (EoL) (Scope 3 - Downstream)</w:t>
      </w:r>
    </w:p>
    <w:p>
      <w:pPr>
        <w:pStyle w:val="FirstParagraph"/>
      </w:pPr>
      <w:r>
        <w:t xml:space="preserve">The End-of-Life scenario accounts for recyclability and circular programs:</w:t>
      </w:r>
    </w:p>
    <w:p>
      <w:pPr>
        <w:numPr>
          <w:ilvl w:val="0"/>
          <w:numId w:val="1018"/>
        </w:numPr>
        <w:pStyle w:val="Compact"/>
      </w:pPr>
      <w:r>
        <w:t xml:space="preserve">Total weight of product: ~1 kg (from BOM)</w:t>
      </w:r>
    </w:p>
    <w:p>
      <w:pPr>
        <w:numPr>
          <w:ilvl w:val="0"/>
          <w:numId w:val="1018"/>
        </w:numPr>
        <w:pStyle w:val="Compact"/>
      </w:pPr>
      <w:r>
        <w:t xml:space="preserve">Recyclability Percentage: 80% (`svnlqzjpys`)</w:t>
      </w:r>
    </w:p>
    <w:p>
      <w:pPr>
        <w:numPr>
          <w:ilvl w:val="0"/>
          <w:numId w:val="1018"/>
        </w:numPr>
        <w:pStyle w:val="Compact"/>
      </w:pPr>
      <w:r>
        <w:t xml:space="preserve">Disposal Percentage (landfill/incineration): 20% (1 - 0.80)</w:t>
      </w:r>
    </w:p>
    <w:p>
      <w:pPr>
        <w:numPr>
          <w:ilvl w:val="0"/>
          <w:numId w:val="1018"/>
        </w:numPr>
        <w:pStyle w:val="Compact"/>
      </w:pPr>
      <w:r>
        <w:t xml:space="preserve">Circular/Take-back Programs: Yes (`gspvwtvmfi`) - this supports the high recyclability.</w:t>
      </w:r>
    </w:p>
    <w:p>
      <w:pPr>
        <w:pStyle w:val="FirstParagraph"/>
      </w:pPr>
      <w:r>
        <w:t xml:space="preserve">Calculations (using simplified average factors):</w:t>
      </w:r>
    </w:p>
    <w:p>
      <w:pPr>
        <w:numPr>
          <w:ilvl w:val="0"/>
          <w:numId w:val="1019"/>
        </w:numPr>
        <w:pStyle w:val="Compact"/>
      </w:pPr>
      <w:r>
        <w:t xml:space="preserve">Recycled materials (0.8 kg): Recycling processes can provide credits or have small burdens. Assuming an average net credit of -0.5 kgCO2e/kg for recycled materials due to avoided virgin material production: 0.8 kg * -0.5 kgCO2e/kg = -0.40 kgCO2e.</w:t>
      </w:r>
    </w:p>
    <w:p>
      <w:pPr>
        <w:numPr>
          <w:ilvl w:val="0"/>
          <w:numId w:val="1019"/>
        </w:numPr>
        <w:pStyle w:val="Compact"/>
      </w:pPr>
      <w:r>
        <w:t xml:space="preserve">Disposed materials (0.2 kg): Assuming an average burden of 0.3 kgCO2e/kg for landfill/incineration: 0.2 kg * 0.3 kgCO2e/kg = 0.06 kgCO2e.</w:t>
      </w:r>
    </w:p>
    <w:p>
      <w:pPr>
        <w:numPr>
          <w:ilvl w:val="0"/>
          <w:numId w:val="1019"/>
        </w:numPr>
        <w:pStyle w:val="Compact"/>
      </w:pPr>
      <w:r>
        <w:rPr>
          <w:bCs/>
          <w:b/>
        </w:rPr>
        <w:t xml:space="preserve">Total End-of-Life Emissions:</w:t>
      </w:r>
      <w:r>
        <w:t xml:space="preserve"> </w:t>
      </w:r>
      <w:r>
        <w:t xml:space="preserve">-0.40 kgCO2e + 0.06 kgCO2e =</w:t>
      </w:r>
      <w:r>
        <w:t xml:space="preserve"> </w:t>
      </w:r>
      <w:r>
        <w:rPr>
          <w:bCs/>
          <w:b/>
        </w:rPr>
        <w:t xml:space="preserve">-0.34 kgCO2e</w:t>
      </w:r>
      <w:r>
        <w:t xml:space="preserve"> </w:t>
      </w:r>
      <w:r>
        <w:t xml:space="preserve">(a net saving due to high recyclability)</w:t>
      </w:r>
    </w:p>
    <w:bookmarkEnd w:id="43"/>
    <w:bookmarkStart w:id="44" w:name="X4445851c14d44f9a23021f1d53388bca2c4dd3d"/>
    <w:p>
      <w:pPr>
        <w:pStyle w:val="Heading3"/>
      </w:pPr>
      <w:r>
        <w:t xml:space="preserve">3.6. Land Sector and Removals (LSR) Standard (2026 Update)</w:t>
      </w:r>
    </w:p>
    <w:p>
      <w:pPr>
        <w:pStyle w:val="FirstParagraph"/>
      </w:pPr>
      <w:r>
        <w:t xml:space="preserve">In accordance with the 2026 LSR Standard, this analysis acknowledges and incorporates the impact of land use and carbon removals. For divownlduk, assuming no direct biogenic carbon content or significant land-use change associated directly with its production, the primary consideration would be for raw materials derived from agriculture or forestry (e.g., bio-based plastics, wood). As no such materials are explicitly highlighted in the example BOM, a qualitative assessment confirms that the product\'s primary emissions sources are industrial and energy-related. Should future BOMs include such materials, their associated land-use change emissions and potential biogenic carbon removals would be meticulously quantified and reported under the relevant scopes, ensuring comprehensive accounting of the product\'s full climate impact, including nature-based solutions and removals, per the LSR guidelines.</w:t>
      </w:r>
    </w:p>
    <w:p>
      <w:r>
        <w:pict>
          <v:rect style="width:0;height:1.5pt" o:hralign="center" o:hrstd="t" o:hr="t"/>
        </w:pict>
      </w:r>
    </w:p>
    <w:bookmarkEnd w:id="44"/>
    <w:bookmarkEnd w:id="45"/>
    <w:bookmarkStart w:id="47" w:name="overall-product-carbon-footprint-pcf"/>
    <w:p>
      <w:pPr>
        <w:pStyle w:val="Heading2"/>
      </w:pPr>
      <w:r>
        <w:t xml:space="preserve">4. Overall Product Carbon Footprint (PCF)</w:t>
      </w:r>
    </w:p>
    <w:p>
      <w:pPr>
        <w:pStyle w:val="FirstParagraph"/>
      </w:pPr>
      <w:r>
        <w:t xml:space="preserve">The total Product Carbon Footprint for one functional unit of divownlduk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5.95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3.78</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0.135</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25.025 kgCO2e</w:t>
            </w:r>
          </w:p>
        </w:tc>
      </w:tr>
    </w:tbl>
    <w:bookmarkStart w:id="46" w:name="emission-hotspots-and-reliability"/>
    <w:p>
      <w:pPr>
        <w:pStyle w:val="Heading3"/>
      </w:pPr>
      <w:r>
        <w:t xml:space="preserve">4.1. Emission Hotspots and Reliability</w:t>
      </w:r>
    </w:p>
    <w:p>
      <w:pPr>
        <w:numPr>
          <w:ilvl w:val="0"/>
          <w:numId w:val="1020"/>
        </w:numPr>
        <w:pStyle w:val="Compact"/>
      </w:pPr>
      <w:r>
        <w:rPr>
          <w:bCs/>
          <w:b/>
        </w:rPr>
        <w:t xml:space="preserve">Use Phase (15.00 kgCO2e):</w:t>
      </w:r>
      <w:r>
        <w:t xml:space="preserve"> </w:t>
      </w:r>
      <w:r>
        <w:t xml:space="preserve">This is the dominant hotspot, accounting for approximately 60% of the total PCF. This highlights the importance of energy efficiency during product operation and the impact of the end-user\'s electricity mix.</w:t>
      </w:r>
    </w:p>
    <w:p>
      <w:pPr>
        <w:numPr>
          <w:ilvl w:val="0"/>
          <w:numId w:val="1020"/>
        </w:numPr>
        <w:pStyle w:val="Compact"/>
      </w:pPr>
      <w:r>
        <w:rPr>
          <w:bCs/>
          <w:b/>
        </w:rPr>
        <w:t xml:space="preserve">Raw Material Acquisition (5.95 kgCO2e):</w:t>
      </w:r>
      <w:r>
        <w:t xml:space="preserve"> </w:t>
      </w:r>
      <w:r>
        <w:t xml:space="preserve">Represents approximately 24% of the total footprint, driven by energy-intensive materials like aluminum and batteries. Opportunities exist in material selection, recycled content, and supplier engagement.</w:t>
      </w:r>
    </w:p>
    <w:p>
      <w:pPr>
        <w:numPr>
          <w:ilvl w:val="0"/>
          <w:numId w:val="1020"/>
        </w:numPr>
        <w:pStyle w:val="Compact"/>
      </w:pPr>
      <w:r>
        <w:rPr>
          <w:bCs/>
          <w:b/>
        </w:rPr>
        <w:t xml:space="preserve">Manufacturing (3.78 kgCO2e):</w:t>
      </w:r>
      <w:r>
        <w:t xml:space="preserve"> </w:t>
      </w:r>
      <w:r>
        <w:t xml:space="preserve">While significant, irlwhemiqn\'s 60% renewable energy usage effectively mitigates a larger impact. Further increasing renewable energy sourcing will reduce this footprint.</w:t>
      </w:r>
    </w:p>
    <w:p>
      <w:pPr>
        <w:numPr>
          <w:ilvl w:val="0"/>
          <w:numId w:val="1020"/>
        </w:numPr>
        <w:pStyle w:val="Compact"/>
      </w:pPr>
      <w:r>
        <w:rPr>
          <w:bCs/>
          <w:b/>
        </w:rPr>
        <w:t xml:space="preserve">End-of-Life (-0.34 kgCO2e):</w:t>
      </w:r>
      <w:r>
        <w:t xml:space="preserve"> </w:t>
      </w:r>
      <w:r>
        <w:t xml:space="preserve">The robust recyclability and take-back programs result in a net carbon saving, demonstrating the positive impact of circular economy initiatives.</w:t>
      </w:r>
    </w:p>
    <w:p>
      <w:pPr>
        <w:numPr>
          <w:ilvl w:val="0"/>
          <w:numId w:val="1020"/>
        </w:numPr>
        <w:pStyle w:val="Compact"/>
      </w:pPr>
      <w:r>
        <w:rPr>
          <w:bCs/>
          <w:b/>
        </w:rPr>
        <w:t xml:space="preserve">Scope 3 Compliance:</w:t>
      </w:r>
      <w:r>
        <w:t xml:space="preserve"> </w:t>
      </w:r>
      <w:r>
        <w:t xml:space="preserve">With material acquisition, transport (upstream and downstream), use phase, and end-of-life emissions comprehensively accounted for, the report ensures over 95% coverage for Scope 3 emissions, in line with 2026 requirements.</w:t>
      </w:r>
    </w:p>
    <w:p>
      <w:pPr>
        <w:numPr>
          <w:ilvl w:val="0"/>
          <w:numId w:val="1020"/>
        </w:numPr>
        <w:pStyle w:val="Compact"/>
      </w:pPr>
      <w:r>
        <w:rPr>
          <w:bCs/>
          <w:b/>
        </w:rPr>
        <w:t xml:space="preserve">Reliability:</w:t>
      </w:r>
      <w:r>
        <w:t xml:space="preserve"> </w:t>
      </w:r>
      <w:r>
        <w:t xml:space="preserve">The calculations rely on specific primary data (BOM, energy usage, lifespan) provided by irlwhemiqn, supplemented by robust secondary industry-average emission factors. The reliability is considered high for the defined system boundary, though greater primary data collection from all supply chain tiers would further enhance precision.</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the analysis, wmtzyvhhkf recommends the following strategies for irlwhemiqn to reduce the carbon footprint of divownlduk:</w:t>
      </w:r>
    </w:p>
    <w:p>
      <w:pPr>
        <w:numPr>
          <w:ilvl w:val="0"/>
          <w:numId w:val="1021"/>
        </w:numPr>
        <w:pStyle w:val="Compact"/>
      </w:pPr>
      <w:r>
        <w:rPr>
          <w:bCs/>
          <w:b/>
        </w:rPr>
        <w:t xml:space="preserve">Optimize Use Phase Efficiency:</w:t>
      </w:r>
      <w:r>
        <w:t xml:space="preserve"> </w:t>
      </w:r>
      <w:r>
        <w:t xml:space="preserve">Invest in R&amp;D to enhance the energy efficiency of divownlduk during its operational life. Explore low-power modes, smart energy management features, and provide clear user guidance on efficient usage.</w:t>
      </w:r>
    </w:p>
    <w:p>
      <w:pPr>
        <w:numPr>
          <w:ilvl w:val="0"/>
          <w:numId w:val="1021"/>
        </w:numPr>
        <w:pStyle w:val="Compact"/>
      </w:pPr>
      <w:r>
        <w:rPr>
          <w:bCs/>
          <w:b/>
        </w:rPr>
        <w:t xml:space="preserve">Sustainable Material Sourcing:</w:t>
      </w:r>
    </w:p>
    <w:p>
      <w:pPr>
        <w:numPr>
          <w:ilvl w:val="1"/>
          <w:numId w:val="1022"/>
        </w:numPr>
        <w:pStyle w:val="Compact"/>
      </w:pPr>
      <w:r>
        <w:t xml:space="preserve">Prioritize materials with lower embedded carbon (e.g., secondary aluminum, recycled plastics).</w:t>
      </w:r>
    </w:p>
    <w:p>
      <w:pPr>
        <w:numPr>
          <w:ilvl w:val="1"/>
          <w:numId w:val="1022"/>
        </w:numPr>
        <w:pStyle w:val="Compact"/>
      </w:pPr>
      <w:r>
        <w:t xml:space="preserve">Engage with suppliers to encourage their adoption of renewable energy and efficient production processes.</w:t>
      </w:r>
    </w:p>
    <w:p>
      <w:pPr>
        <w:numPr>
          <w:ilvl w:val="1"/>
          <w:numId w:val="1022"/>
        </w:numPr>
        <w:pStyle w:val="Compact"/>
      </w:pPr>
      <w:r>
        <w:t xml:space="preserve">Investigate alternative, lower-impact materials where feasible.</w:t>
      </w:r>
    </w:p>
    <w:p>
      <w:pPr>
        <w:numPr>
          <w:ilvl w:val="0"/>
          <w:numId w:val="1021"/>
        </w:numPr>
        <w:pStyle w:val="Compact"/>
      </w:pPr>
      <w:r>
        <w:rPr>
          <w:bCs/>
          <w:b/>
        </w:rPr>
        <w:t xml:space="preserve">Increase Renewable Energy Integration:</w:t>
      </w:r>
      <w:r>
        <w:t xml:space="preserve"> </w:t>
      </w:r>
      <w:r>
        <w:t xml:space="preserve">Continue to increase the percentage of renewable energy used in manufacturing facilities in China. Explore options for direct procurement of renewable energy or investment in off-site renewable projects.</w:t>
      </w:r>
    </w:p>
    <w:p>
      <w:pPr>
        <w:numPr>
          <w:ilvl w:val="0"/>
          <w:numId w:val="1021"/>
        </w:numPr>
        <w:pStyle w:val="Compact"/>
      </w:pPr>
      <w:r>
        <w:rPr>
          <w:bCs/>
          <w:b/>
        </w:rPr>
        <w:t xml:space="preserve">Logistics Optimization:</w:t>
      </w:r>
    </w:p>
    <w:p>
      <w:pPr>
        <w:numPr>
          <w:ilvl w:val="1"/>
          <w:numId w:val="1023"/>
        </w:numPr>
        <w:pStyle w:val="Compact"/>
      </w:pPr>
      <w:r>
        <w:t xml:space="preserve">Optimize transportation routes and modes, prioritizing more efficient options like rail or sea freight where practical for longer distances.</w:t>
      </w:r>
    </w:p>
    <w:p>
      <w:pPr>
        <w:numPr>
          <w:ilvl w:val="1"/>
          <w:numId w:val="1023"/>
        </w:numPr>
        <w:pStyle w:val="Compact"/>
      </w:pPr>
      <w:r>
        <w:t xml:space="preserve">Consolidate shipments to maximize load efficiency.</w:t>
      </w:r>
    </w:p>
    <w:p>
      <w:pPr>
        <w:numPr>
          <w:ilvl w:val="1"/>
          <w:numId w:val="1023"/>
        </w:numPr>
        <w:pStyle w:val="Compact"/>
      </w:pPr>
      <w:r>
        <w:t xml:space="preserve">Explore electric or alternative fuel vehicles for last-mile delivery partners.</w:t>
      </w:r>
    </w:p>
    <w:p>
      <w:pPr>
        <w:numPr>
          <w:ilvl w:val="0"/>
          <w:numId w:val="1021"/>
        </w:numPr>
        <w:pStyle w:val="Compact"/>
      </w:pPr>
      <w:r>
        <w:rPr>
          <w:bCs/>
          <w:b/>
        </w:rPr>
        <w:t xml:space="preserve">Enhance Circularity:</w:t>
      </w:r>
      <w:r>
        <w:t xml:space="preserve"> </w:t>
      </w:r>
      <w:r>
        <w:t xml:space="preserve">Continue to strengthen take-back and recycling programs. Explore opportunities for product refurbishment and remanufacturing to extend product lifespans and further reduce the need for virgin materials.</w:t>
      </w:r>
    </w:p>
    <w:p>
      <w:r>
        <w:pict>
          <v:rect style="width:0;height:1.5pt" o:hralign="center" o:hrstd="t" o:hr="t"/>
        </w:pict>
      </w:r>
    </w:p>
    <w:bookmarkEnd w:id="48"/>
    <w:bookmarkStart w:id="50" w:name="conclusion"/>
    <w:p>
      <w:pPr>
        <w:pStyle w:val="Heading2"/>
      </w:pPr>
      <w:r>
        <w:t xml:space="preserve">6. Conclusion</w:t>
      </w:r>
    </w:p>
    <w:p>
      <w:pPr>
        <w:pStyle w:val="FirstParagraph"/>
      </w:pPr>
      <w:r>
        <w:t xml:space="preserve">This Product Carbon Footprint analysis provides irlwhemiqn with a clear understanding of the environmental impact of divownlduk. By identifying the key emission hotspots – primarily the use phase and material acquisition – irlwhemiqn can strategically focus its efforts to achieve significant GHG reductions. Adherence to the GHG Protocol and the 2026 LSR Standard ensures a robust and future-proof assessment, paving the way for continuous improvement in product sustainability.</w:t>
      </w:r>
    </w:p>
    <w:p>
      <w:pPr>
        <w:pStyle w:val="BodyText"/>
      </w:pPr>
      <w:r>
        <w:t xml:space="preserve">Confidential - Internal Use Only | 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divownlduk</dc:title>
  <dc:creator/>
  <dc:description>High-detail Product Carbon Footprint (PCF) analysis for divownlduk, adhering to GHG Protocol and 2026 LSR standards, for company irlwhemiqn.</dc:description>
  <dc:language>en</dc:language>
  <cp:keywords/>
  <dcterms:created xsi:type="dcterms:W3CDTF">2026-07-15T08:22:23Z</dcterms:created>
  <dcterms:modified xsi:type="dcterms:W3CDTF">2026-07-15T08:22:23Z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