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Carbon</w:t>
      </w:r>
      <w:r>
        <w:t xml:space="preserve"> </w:t>
      </w:r>
      <w:r>
        <w:t xml:space="preserve">Footprint</w:t>
      </w:r>
      <w:r>
        <w:t xml:space="preserve"> </w:t>
      </w:r>
      <w:r>
        <w:t xml:space="preserve">Report</w:t>
      </w:r>
      <w:r>
        <w:t xml:space="preserve"> </w:t>
      </w:r>
      <w:r>
        <w:t xml:space="preserve">for</w:t>
      </w:r>
      <w:r>
        <w:t xml:space="preserve"> </w:t>
      </w:r>
      <w:r>
        <w:t xml:space="preserve">dhssoqogjd</w:t>
      </w:r>
    </w:p>
    <w:p>
      <w:pPr>
        <w:pStyle w:val="FirstParagraph"/>
      </w:pPr>
      <w:r>
        <w:t xml:space="preserve">carboncalcpcf.com</w:t>
      </w:r>
    </w:p>
    <w:bookmarkStart w:id="21" w:name="product-carbon-footprint-analysis-report"/>
    <w:p>
      <w:pPr>
        <w:pStyle w:val="Heading1"/>
      </w:pPr>
      <w:r>
        <w:t xml:space="preserve">Product Carbon Footprint Analysis Report</w:t>
      </w:r>
    </w:p>
    <w:bookmarkStart w:id="20" w:name="product-dhssoqogjd-smart-home-sensor"/>
    <w:p>
      <w:pPr>
        <w:pStyle w:val="Heading2"/>
      </w:pPr>
      <w:r>
        <w:t xml:space="preserve">Product: dhssoqogjd (Smart Home Sensor)</w:t>
      </w:r>
    </w:p>
    <w:p>
      <w:pPr>
        <w:pStyle w:val="FirstParagraph"/>
      </w:pPr>
      <w:r>
        <w:rPr>
          <w:bCs/>
          <w:b/>
        </w:rPr>
        <w:t xml:space="preserve">Protocol Data (Accounting Standard):</w:t>
      </w:r>
      <w:r>
        <w:t xml:space="preserve"> </w:t>
      </w:r>
      <w:r>
        <w:t xml:space="preserve">GHG Protocol</w:t>
      </w:r>
    </w:p>
    <w:p>
      <w:pPr>
        <w:pStyle w:val="BodyText"/>
      </w:pPr>
      <w:r>
        <w:rPr>
          <w:bCs/>
          <w:b/>
        </w:rPr>
        <w:t xml:space="preserve">Name of the Company:</w:t>
      </w:r>
      <w:r>
        <w:t xml:space="preserve"> </w:t>
      </w:r>
      <w:r>
        <w:t xml:space="preserve">jkmmldopey</w:t>
      </w:r>
    </w:p>
    <w:p>
      <w:pPr>
        <w:pStyle w:val="BodyText"/>
      </w:pPr>
      <w:r>
        <w:rPr>
          <w:bCs/>
          <w:b/>
        </w:rPr>
        <w:t xml:space="preserve">Senior Sustainability Consultant:</w:t>
      </w:r>
      <w:r>
        <w:t xml:space="preserve"> </w:t>
      </w:r>
      <w:r>
        <w:t xml:space="preserve">zihoedxhyu</w:t>
      </w:r>
    </w:p>
    <w:p>
      <w:pPr>
        <w:pStyle w:val="BodyText"/>
      </w:pPr>
      <w:r>
        <w:t xml:space="preserve">This report is generated based on available data and industry standards. All calculations are illustrative, utilizing provided parameters and general emission factors where specific data was not supplied.</w:t>
      </w:r>
    </w:p>
    <w:bookmarkEnd w:id="20"/>
    <w:bookmarkEnd w:id="21"/>
    <w:bookmarkStart w:id="22" w:name="Xa87d010c1fd868336511b306fbd202996615f12"/>
    <w:p>
      <w:pPr>
        <w:pStyle w:val="Heading1"/>
      </w:pPr>
      <w:r>
        <w:t xml:space="preserve">Product Carbon Footprint Analysis Report</w:t>
      </w:r>
    </w:p>
    <w:p>
      <w:pPr>
        <w:pStyle w:val="FirstParagraph"/>
      </w:pPr>
      <w:r>
        <w:rPr>
          <w:bCs/>
          <w:b/>
        </w:rPr>
        <w:t xml:space="preserve">Product:</w:t>
      </w:r>
      <w:r>
        <w:t xml:space="preserve"> </w:t>
      </w:r>
      <w:r>
        <w:t xml:space="preserve">dhssoqogjd (Smart Home Sensor)</w:t>
      </w:r>
    </w:p>
    <w:p>
      <w:pPr>
        <w:pStyle w:val="BodyText"/>
      </w:pPr>
      <w:r>
        <w:rPr>
          <w:bCs/>
          <w:b/>
        </w:rPr>
        <w:t xml:space="preserve">Company:</w:t>
      </w:r>
      <w:r>
        <w:t xml:space="preserve"> </w:t>
      </w:r>
      <w:r>
        <w:t xml:space="preserve">jkmmldopey</w:t>
      </w:r>
    </w:p>
    <w:p>
      <w:pPr>
        <w:pStyle w:val="BodyText"/>
      </w:pPr>
      <w:r>
        <w:rPr>
          <w:bCs/>
          <w:b/>
        </w:rPr>
        <w:t xml:space="preserve">Senior Sustainability Consultant:</w:t>
      </w:r>
      <w:r>
        <w:t xml:space="preserve"> </w:t>
      </w:r>
      <w:r>
        <w:t xml:space="preserve">zihoedxhyu</w:t>
      </w:r>
    </w:p>
    <w:p>
      <w:pPr>
        <w:pStyle w:val="BodyText"/>
      </w:pPr>
      <w:r>
        <w:t xml:space="preserve">Generated Date:</w:t>
      </w:r>
    </w:p>
    <w:bookmarkEnd w:id="22"/>
    <w:p>
      <w:r>
        <w:pict>
          <v:rect style="width:0;height:1.5pt" o:hralign="center" o:hrstd="t" o:hr="t"/>
        </w:pict>
      </w:r>
    </w:p>
    <w:bookmarkStart w:id="23" w:name="executive-summary"/>
    <w:p>
      <w:pPr>
        <w:pStyle w:val="Heading2"/>
      </w:pPr>
      <w:r>
        <w:t xml:space="preserve">Executive Summary</w:t>
      </w:r>
    </w:p>
    <w:p>
      <w:pPr>
        <w:pStyle w:val="FirstParagraph"/>
      </w:pPr>
      <w:r>
        <w:t xml:space="preserve">This report presents a high-detail Product Carbon Footprint (PCF) analysis for the product dhssoqogjd, a Smart Home Sensor, manufactured by jkmmldopey. The analysis was conducted by zihoedxhyu, a Senior Sustainability Consultant, adhering strictly to the Greenhouse Gas (GHG) Protocol. The aim is to quantify the total greenhouse gas emissions (expressed in kg CO₂e) across the product\'s lifecycle, identify emission hotspots, and provide insights for potential reduction strategies. This analysis incorporates detailed Bill of Materials (BOM) data, specific logistics, production energy usage, use phase consumption, and end-of-life scenarios to provide a comprehensive cradle-to-grave assessment.</w:t>
      </w:r>
    </w:p>
    <w:p>
      <w:r>
        <w:pict>
          <v:rect style="width:0;height:1.5pt" o:hralign="center" o:hrstd="t" o:hr="t"/>
        </w:pict>
      </w:r>
    </w:p>
    <w:bookmarkEnd w:id="23"/>
    <w:bookmarkStart w:id="29" w:name="define-scope"/>
    <w:p>
      <w:pPr>
        <w:pStyle w:val="Heading2"/>
      </w:pPr>
      <w:r>
        <w:t xml:space="preserve">1. Define Scope</w:t>
      </w:r>
    </w:p>
    <w:bookmarkStart w:id="24" w:name="functional-unit"/>
    <w:p>
      <w:pPr>
        <w:pStyle w:val="Heading3"/>
      </w:pPr>
      <w:r>
        <w:t xml:space="preserve">1.1 Functional Unit</w:t>
      </w:r>
    </w:p>
    <w:p>
      <w:pPr>
        <w:numPr>
          <w:ilvl w:val="0"/>
          <w:numId w:val="1001"/>
        </w:numPr>
        <w:pStyle w:val="Compact"/>
      </w:pPr>
      <w:r>
        <w:rPr>
          <w:bCs/>
          <w:b/>
        </w:rPr>
        <w:t xml:space="preserve">Functional Unit:</w:t>
      </w:r>
      <w:r>
        <w:t xml:space="preserve"> </w:t>
      </w:r>
      <w:r>
        <w:t xml:space="preserve">1.0 unit of the dhssoqogjd Smart Home Sensor. This unit serves as the reference basis for all quantified environmental impacts.</w:t>
      </w:r>
    </w:p>
    <w:bookmarkEnd w:id="24"/>
    <w:bookmarkStart w:id="25" w:name="system-boundary"/>
    <w:p>
      <w:pPr>
        <w:pStyle w:val="Heading3"/>
      </w:pPr>
      <w:r>
        <w:t xml:space="preserve">1.2 System Boundary</w:t>
      </w:r>
    </w:p>
    <w:p>
      <w:pPr>
        <w:numPr>
          <w:ilvl w:val="0"/>
          <w:numId w:val="1002"/>
        </w:numPr>
        <w:pStyle w:val="Compact"/>
      </w:pPr>
      <w:r>
        <w:rPr>
          <w:bCs/>
          <w:b/>
        </w:rPr>
        <w:t xml:space="preserve">System Boundary:</w:t>
      </w:r>
      <w:r>
        <w:t xml:space="preserve"> </w:t>
      </w:r>
      <w:r>
        <w:t xml:space="preserve">While the initial focus for primary production is \'factory_gate\', a comprehensive cradle-to-grave analysis has been performed as requested, encompassing all stages from raw material extraction to end-of-life. This includes:</w:t>
      </w:r>
    </w:p>
    <w:p>
      <w:pPr>
        <w:numPr>
          <w:ilvl w:val="1"/>
          <w:numId w:val="1003"/>
        </w:numPr>
        <w:pStyle w:val="Compact"/>
      </w:pPr>
      <w:r>
        <w:t xml:space="preserve">Raw Material Acquisition &amp; Pre-processing</w:t>
      </w:r>
    </w:p>
    <w:p>
      <w:pPr>
        <w:numPr>
          <w:ilvl w:val="1"/>
          <w:numId w:val="1003"/>
        </w:numPr>
        <w:pStyle w:val="Compact"/>
      </w:pPr>
      <w:r>
        <w:t xml:space="preserve">Manufacturing</w:t>
      </w:r>
    </w:p>
    <w:p>
      <w:pPr>
        <w:numPr>
          <w:ilvl w:val="1"/>
          <w:numId w:val="1003"/>
        </w:numPr>
        <w:pStyle w:val="Compact"/>
      </w:pPr>
      <w:r>
        <w:t xml:space="preserve">Transportation (upstream and downstream)</w:t>
      </w:r>
    </w:p>
    <w:p>
      <w:pPr>
        <w:numPr>
          <w:ilvl w:val="1"/>
          <w:numId w:val="1003"/>
        </w:numPr>
        <w:pStyle w:val="Compact"/>
      </w:pPr>
      <w:r>
        <w:t xml:space="preserve">Product Use Phase</w:t>
      </w:r>
    </w:p>
    <w:p>
      <w:pPr>
        <w:numPr>
          <w:ilvl w:val="1"/>
          <w:numId w:val="1003"/>
        </w:numPr>
        <w:pStyle w:val="Compact"/>
      </w:pPr>
      <w:r>
        <w:t xml:space="preserve">End-of-Life Management</w:t>
      </w:r>
    </w:p>
    <w:bookmarkEnd w:id="25"/>
    <w:bookmarkStart w:id="26" w:name="geographic-scope"/>
    <w:p>
      <w:pPr>
        <w:pStyle w:val="Heading3"/>
      </w:pPr>
      <w:r>
        <w:t xml:space="preserve">1.3 Geographic Scope</w:t>
      </w:r>
    </w:p>
    <w:p>
      <w:pPr>
        <w:numPr>
          <w:ilvl w:val="0"/>
          <w:numId w:val="1004"/>
        </w:numPr>
        <w:pStyle w:val="Compact"/>
      </w:pPr>
      <w:r>
        <w:rPr>
          <w:bCs/>
          <w:b/>
        </w:rPr>
        <w:t xml:space="preserve">Final Production Country:</w:t>
      </w:r>
      <w:r>
        <w:t xml:space="preserve"> </w:t>
      </w:r>
      <w:r>
        <w:t xml:space="preserve">China</w:t>
      </w:r>
    </w:p>
    <w:p>
      <w:pPr>
        <w:numPr>
          <w:ilvl w:val="0"/>
          <w:numId w:val="1004"/>
        </w:numPr>
        <w:pStyle w:val="Compact"/>
      </w:pPr>
      <w:r>
        <w:rPr>
          <w:bCs/>
          <w:b/>
        </w:rPr>
        <w:t xml:space="preserve">Supply Chain Focus:</w:t>
      </w:r>
      <w:r>
        <w:t xml:space="preserve"> </w:t>
      </w:r>
      <w:r>
        <w:t xml:space="preserve">Europe Focused (implying transportation to and use within Europe)</w:t>
      </w:r>
    </w:p>
    <w:bookmarkEnd w:id="26"/>
    <w:bookmarkStart w:id="27" w:name="accounting-standard"/>
    <w:p>
      <w:pPr>
        <w:pStyle w:val="Heading3"/>
      </w:pPr>
      <w:r>
        <w:t xml:space="preserve">1.4 Accounting Standard</w:t>
      </w:r>
    </w:p>
    <w:p>
      <w:pPr>
        <w:numPr>
          <w:ilvl w:val="0"/>
          <w:numId w:val="1005"/>
        </w:numPr>
        <w:pStyle w:val="Compact"/>
      </w:pPr>
      <w:r>
        <w:rPr>
          <w:bCs/>
          <w:b/>
        </w:rPr>
        <w:t xml:space="preserve">Accounting Standard:</w:t>
      </w:r>
      <w:r>
        <w:t xml:space="preserve"> </w:t>
      </w:r>
      <w:r>
        <w:t xml:space="preserve">GHG Protocol. Emissions are categorized into Scope 1 (direct emissions), Scope 2 (purchased energy emissions), and Scope 3 (all other indirect value chain emissions) to align with corporate reporting standards.</w:t>
      </w:r>
    </w:p>
    <w:bookmarkEnd w:id="27"/>
    <w:bookmarkStart w:id="28" w:name="allocation"/>
    <w:p>
      <w:pPr>
        <w:pStyle w:val="Heading3"/>
      </w:pPr>
      <w:r>
        <w:t xml:space="preserve">1.5 Allocation</w:t>
      </w:r>
    </w:p>
    <w:p>
      <w:pPr>
        <w:numPr>
          <w:ilvl w:val="0"/>
          <w:numId w:val="1006"/>
        </w:numPr>
        <w:pStyle w:val="Compact"/>
      </w:pPr>
      <w:r>
        <w:t xml:space="preserve">Emissions have been allocated directly to the functional unit (1.0 unit of dhssoqogjd) based on mass, energy consumption, and distance where applicable. No co-product or by-product allocation was required for this specific product analysis.</w:t>
      </w:r>
    </w:p>
    <w:p>
      <w:r>
        <w:pict>
          <v:rect style="width:0;height:1.5pt" o:hralign="center" o:hrstd="t" o:hr="t"/>
        </w:pict>
      </w:r>
    </w:p>
    <w:bookmarkEnd w:id="28"/>
    <w:bookmarkEnd w:id="29"/>
    <w:bookmarkStart w:id="35" w:name="X9b3f95e3515408304ff4a9cec9842f2424d7a20"/>
    <w:p>
      <w:pPr>
        <w:pStyle w:val="Heading2"/>
      </w:pPr>
      <w:r>
        <w:t xml:space="preserve">2. Map Lifecycle (LCI Inventory Stages) &amp; 3. Collect Data (Primary/Secondary Data Points)</w:t>
      </w:r>
    </w:p>
    <w:p>
      <w:pPr>
        <w:pStyle w:val="FirstParagraph"/>
      </w:pPr>
      <w:r>
        <w:t xml:space="preserve">This section details the primary and secondary data collected and the mapping of the product\'s lifecycle. Illustrative data and emission factors are used based on the provided parameters where specific values were not available.</w:t>
      </w:r>
    </w:p>
    <w:bookmarkStart w:id="30" w:name="X1ed739b58fe4d71d405ee4a51527209bbe913e1"/>
    <w:p>
      <w:pPr>
        <w:pStyle w:val="Heading3"/>
      </w:pPr>
      <w:r>
        <w:t xml:space="preserve">3.1 Detailed Bill of Materials (BOM) for dhssoqogjd</w:t>
      </w:r>
    </w:p>
    <w:p>
      <w:pPr>
        <w:pStyle w:val="FirstParagraph"/>
      </w:pPr>
      <w:r>
        <w:t xml:space="preserve">The following Bill of Materials (BOM) data (uijjplgs) was used for high-accuracy material impact calculation. Emission factors are representative industry averages (e.g., Ecoinvent/DEFRA equivalents) for similar materials and processes.</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(kgCO₂e/unit)</w:t>
            </w:r>
          </w:p>
        </w:tc>
        <w:tc>
          <w:tcPr/>
          <w:p>
            <w:pPr>
              <w:pStyle w:val="Compact"/>
              <w:jc w:val="left"/>
            </w:pPr>
            <w:r>
              <w:t xml:space="preserve">Total Carbon (kgCO₂e)</w:t>
            </w:r>
          </w:p>
        </w:tc>
      </w:tr>
      <w:tr>
        <w:tc>
          <w:tcPr/>
          <w:p>
            <w:pPr>
              <w:pStyle w:val="Compact"/>
              <w:jc w:val="left"/>
            </w:pPr>
            <w:r>
              <w:t xml:space="preserve">M001</w:t>
            </w:r>
          </w:p>
        </w:tc>
        <w:tc>
          <w:tcPr/>
          <w:p>
            <w:pPr>
              <w:pStyle w:val="Compact"/>
              <w:jc w:val="left"/>
            </w:pPr>
            <w:r>
              <w:t xml:space="preserve">Plastic Casing</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0.10</w:t>
            </w:r>
          </w:p>
        </w:tc>
        <w:tc>
          <w:tcPr/>
          <w:p>
            <w:pPr>
              <w:pStyle w:val="Compact"/>
              <w:jc w:val="left"/>
            </w:pPr>
            <w:r>
              <w:t xml:space="preserve">kg</w:t>
            </w:r>
          </w:p>
        </w:tc>
        <w:tc>
          <w:tcPr/>
          <w:p>
            <w:pPr>
              <w:pStyle w:val="Compact"/>
              <w:jc w:val="left"/>
            </w:pPr>
            <w:r>
              <w:t xml:space="preserve">2.50</w:t>
            </w:r>
          </w:p>
        </w:tc>
        <w:tc>
          <w:tcPr/>
          <w:p>
            <w:pPr>
              <w:pStyle w:val="Compact"/>
              <w:jc w:val="left"/>
            </w:pPr>
            <w:r>
              <w:t xml:space="preserve">0.250</w:t>
            </w:r>
          </w:p>
        </w:tc>
      </w:tr>
      <w:tr>
        <w:tc>
          <w:tcPr/>
          <w:p>
            <w:pPr>
              <w:pStyle w:val="Compact"/>
              <w:jc w:val="left"/>
            </w:pPr>
            <w:r>
              <w:t xml:space="preserve">M002</w:t>
            </w:r>
          </w:p>
        </w:tc>
        <w:tc>
          <w:tcPr/>
          <w:p>
            <w:pPr>
              <w:pStyle w:val="Compact"/>
              <w:jc w:val="left"/>
            </w:pPr>
            <w:r>
              <w:t xml:space="preserve">Printed Circuit Board (PCB)</w:t>
            </w:r>
          </w:p>
        </w:tc>
        <w:tc>
          <w:tcPr/>
          <w:p>
            <w:pPr>
              <w:pStyle w:val="Compact"/>
              <w:jc w:val="left"/>
            </w:pPr>
            <w:r>
              <w:t xml:space="preserve">Electronics</w:t>
            </w:r>
          </w:p>
        </w:tc>
        <w:tc>
          <w:tcPr/>
          <w:p>
            <w:pPr>
              <w:pStyle w:val="Compact"/>
              <w:jc w:val="left"/>
            </w:pPr>
            <w:r>
              <w:t xml:space="preserve">Manufacturing</w:t>
            </w:r>
          </w:p>
        </w:tc>
        <w:tc>
          <w:tcPr/>
          <w:p>
            <w:pPr>
              <w:pStyle w:val="Compact"/>
              <w:jc w:val="left"/>
            </w:pPr>
            <w:r>
              <w:t xml:space="preserve">0.02</w:t>
            </w:r>
          </w:p>
        </w:tc>
        <w:tc>
          <w:tcPr/>
          <w:p>
            <w:pPr>
              <w:pStyle w:val="Compact"/>
              <w:jc w:val="left"/>
            </w:pPr>
            <w:r>
              <w:t xml:space="preserve">kg</w:t>
            </w:r>
          </w:p>
        </w:tc>
        <w:tc>
          <w:tcPr/>
          <w:p>
            <w:pPr>
              <w:pStyle w:val="Compact"/>
              <w:jc w:val="left"/>
            </w:pPr>
            <w:r>
              <w:t xml:space="preserve">20.00</w:t>
            </w:r>
          </w:p>
        </w:tc>
        <w:tc>
          <w:tcPr/>
          <w:p>
            <w:pPr>
              <w:pStyle w:val="Compact"/>
              <w:jc w:val="left"/>
            </w:pPr>
            <w:r>
              <w:t xml:space="preserve">0.400</w:t>
            </w:r>
          </w:p>
        </w:tc>
      </w:tr>
      <w:tr>
        <w:tc>
          <w:tcPr/>
          <w:p>
            <w:pPr>
              <w:pStyle w:val="Compact"/>
              <w:jc w:val="left"/>
            </w:pPr>
            <w:r>
              <w:t xml:space="preserve">M003</w:t>
            </w:r>
          </w:p>
        </w:tc>
        <w:tc>
          <w:tcPr/>
          <w:p>
            <w:pPr>
              <w:pStyle w:val="Compact"/>
              <w:jc w:val="left"/>
            </w:pPr>
            <w:r>
              <w:t xml:space="preserve">Electronic Components (IC, Resistors, etc.)</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0.05</w:t>
            </w:r>
          </w:p>
        </w:tc>
        <w:tc>
          <w:tcPr/>
          <w:p>
            <w:pPr>
              <w:pStyle w:val="Compact"/>
              <w:jc w:val="left"/>
            </w:pPr>
            <w:r>
              <w:t xml:space="preserve">kg</w:t>
            </w:r>
          </w:p>
        </w:tc>
        <w:tc>
          <w:tcPr/>
          <w:p>
            <w:pPr>
              <w:pStyle w:val="Compact"/>
              <w:jc w:val="left"/>
            </w:pPr>
            <w:r>
              <w:t xml:space="preserve">50.00</w:t>
            </w:r>
          </w:p>
        </w:tc>
        <w:tc>
          <w:tcPr/>
          <w:p>
            <w:pPr>
              <w:pStyle w:val="Compact"/>
              <w:jc w:val="left"/>
            </w:pPr>
            <w:r>
              <w:t xml:space="preserve">2.500</w:t>
            </w:r>
          </w:p>
        </w:tc>
      </w:tr>
      <w:tr>
        <w:tc>
          <w:tcPr/>
          <w:p>
            <w:pPr>
              <w:pStyle w:val="Compact"/>
              <w:jc w:val="left"/>
            </w:pPr>
            <w:r>
              <w:t xml:space="preserve">M004</w:t>
            </w:r>
          </w:p>
        </w:tc>
        <w:tc>
          <w:tcPr/>
          <w:p>
            <w:pPr>
              <w:pStyle w:val="Compact"/>
              <w:jc w:val="left"/>
            </w:pPr>
            <w:r>
              <w:t xml:space="preserve">Recycled Cardboard Packaging</w:t>
            </w:r>
          </w:p>
        </w:tc>
        <w:tc>
          <w:tcPr/>
          <w:p>
            <w:pPr>
              <w:pStyle w:val="Compact"/>
              <w:jc w:val="left"/>
            </w:pPr>
            <w:r>
              <w:t xml:space="preserve">Paper/Packaging</w:t>
            </w:r>
          </w:p>
        </w:tc>
        <w:tc>
          <w:tcPr/>
          <w:p>
            <w:pPr>
              <w:pStyle w:val="Compact"/>
              <w:jc w:val="left"/>
            </w:pPr>
            <w:r>
              <w:t xml:space="preserve">Production</w:t>
            </w:r>
          </w:p>
        </w:tc>
        <w:tc>
          <w:tcPr/>
          <w:p>
            <w:pPr>
              <w:pStyle w:val="Compact"/>
              <w:jc w:val="left"/>
            </w:pPr>
            <w:r>
              <w:t xml:space="preserve">0.03</w:t>
            </w:r>
          </w:p>
        </w:tc>
        <w:tc>
          <w:tcPr/>
          <w:p>
            <w:pPr>
              <w:pStyle w:val="Compact"/>
              <w:jc w:val="left"/>
            </w:pPr>
            <w:r>
              <w:t xml:space="preserve">kg</w:t>
            </w:r>
          </w:p>
        </w:tc>
        <w:tc>
          <w:tcPr/>
          <w:p>
            <w:pPr>
              <w:pStyle w:val="Compact"/>
              <w:jc w:val="left"/>
            </w:pPr>
            <w:r>
              <w:t xml:space="preserve">0.50</w:t>
            </w:r>
          </w:p>
        </w:tc>
        <w:tc>
          <w:tcPr/>
          <w:p>
            <w:pPr>
              <w:pStyle w:val="Compact"/>
              <w:jc w:val="left"/>
            </w:pPr>
            <w:r>
              <w:t xml:space="preserve">0.015</w:t>
            </w:r>
          </w:p>
        </w:tc>
      </w:tr>
      <w:tr>
        <w:tc>
          <w:tcPr>
            <w:gridSpan w:val="7"/>
          </w:tcPr>
          <w:p>
            <w:pPr>
              <w:pStyle w:val="Compact"/>
              <w:jc w:val="left"/>
            </w:pPr>
            <w:r>
              <w:t xml:space="preserve">Total Material Emissions (Upstream, Scope 3)</w:t>
            </w:r>
          </w:p>
        </w:tc>
        <w:tc>
          <w:tcPr/>
          <w:p>
            <w:pPr>
              <w:pStyle w:val="Compact"/>
              <w:jc w:val="left"/>
            </w:pPr>
            <w:r>
              <w:t xml:space="preserve">3.165</w:t>
            </w:r>
          </w:p>
        </w:tc>
      </w:tr>
    </w:tbl>
    <w:p>
      <w:pPr>
        <w:pStyle w:val="BodyText"/>
      </w:pPr>
      <w:r>
        <w:rPr>
          <w:iCs/>
          <w:i/>
        </w:rPr>
        <w:t xml:space="preserve">Assumptions: Material emission factors are illustrative averages. Total product weight (excluding packaging) for transport calculations is approximately 0.17 kg (0.10 + 0.02 + 0.05). Total product weight including packaging is 0.2 kg.</w:t>
      </w:r>
    </w:p>
    <w:bookmarkEnd w:id="30"/>
    <w:bookmarkStart w:id="31" w:name="energy-inputs-manufacturing-phase"/>
    <w:p>
      <w:pPr>
        <w:pStyle w:val="Heading3"/>
      </w:pPr>
      <w:r>
        <w:t xml:space="preserve">3.2 Energy Inputs (Manufacturing Phase)</w:t>
      </w:r>
    </w:p>
    <w:p>
      <w:pPr>
        <w:numPr>
          <w:ilvl w:val="0"/>
          <w:numId w:val="1007"/>
        </w:numPr>
        <w:pStyle w:val="Compact"/>
      </w:pPr>
      <w:r>
        <w:rPr>
          <w:bCs/>
          <w:b/>
        </w:rPr>
        <w:t xml:space="preserve">Energy Intensity (kWh/unit):</w:t>
      </w:r>
      <w:r>
        <w:t xml:space="preserve"> </w:t>
      </w:r>
      <w:r>
        <w:t xml:space="preserve">ghzmnynokl = 0.5 kWh/unit</w:t>
      </w:r>
    </w:p>
    <w:p>
      <w:pPr>
        <w:numPr>
          <w:ilvl w:val="0"/>
          <w:numId w:val="1007"/>
        </w:numPr>
        <w:pStyle w:val="Compact"/>
      </w:pPr>
      <w:r>
        <w:rPr>
          <w:bCs/>
          <w:b/>
        </w:rPr>
        <w:t xml:space="preserve">Renewable Energy Usage:</w:t>
      </w:r>
      <w:r>
        <w:t xml:space="preserve"> </w:t>
      </w:r>
      <w:r>
        <w:t xml:space="preserve">wkyuiqriim = 60% (This reduces the effective grid emission factor for company operations).</w:t>
      </w:r>
    </w:p>
    <w:p>
      <w:pPr>
        <w:numPr>
          <w:ilvl w:val="0"/>
          <w:numId w:val="1007"/>
        </w:numPr>
        <w:pStyle w:val="Compact"/>
      </w:pPr>
      <w:r>
        <w:rPr>
          <w:bCs/>
          <w:b/>
        </w:rPr>
        <w:t xml:space="preserve">Electricity Grid Emission Factor (China):</w:t>
      </w:r>
      <w:r>
        <w:t xml:space="preserve"> </w:t>
      </w:r>
      <w:r>
        <w:t xml:space="preserve">An illustrative factor of 0.7 kgCO₂e/kWh is used for China\'s grid, considering recent trends and data.</w:t>
      </w:r>
    </w:p>
    <w:p>
      <w:pPr>
        <w:numPr>
          <w:ilvl w:val="0"/>
          <w:numId w:val="1007"/>
        </w:numPr>
        <w:pStyle w:val="Compact"/>
      </w:pPr>
      <w:r>
        <w:rPr>
          <w:bCs/>
          <w:b/>
        </w:rPr>
        <w:t xml:space="preserve">Adjusted Electricity Emission Factor for jkmmldopey:</w:t>
      </w:r>
      <w:r>
        <w:t xml:space="preserve"> </w:t>
      </w:r>
      <w:r>
        <w:t xml:space="preserve">(1 - 0.60 renewable usage) * 0.7 kgCO₂e/kWh = 0.4 * 0.7 = 0.28 kgCO₂e/kWh.</w:t>
      </w:r>
    </w:p>
    <w:p>
      <w:pPr>
        <w:pStyle w:val="FirstParagraph"/>
      </w:pPr>
      <w:r>
        <w:rPr>
          <w:iCs/>
          <w:i/>
        </w:rPr>
        <w:t xml:space="preserve">This adjusted factor accounts for the company\'s commitment to renewable energy, reducing the carbon intensity of its purchased electricity.</w:t>
      </w:r>
    </w:p>
    <w:bookmarkEnd w:id="31"/>
    <w:bookmarkStart w:id="32" w:name="X96858478aec9ea6dbe6274c8999c7c43bf57cab"/>
    <w:p>
      <w:pPr>
        <w:pStyle w:val="Heading3"/>
      </w:pPr>
      <w:r>
        <w:t xml:space="preserve">3.3 Logistics Data (Upstream &amp; Downstream Transport)</w:t>
      </w:r>
    </w:p>
    <w:p>
      <w:pPr>
        <w:numPr>
          <w:ilvl w:val="0"/>
          <w:numId w:val="1008"/>
        </w:numPr>
        <w:pStyle w:val="Compact"/>
      </w:pPr>
      <w:r>
        <w:rPr>
          <w:bCs/>
          <w:b/>
        </w:rPr>
        <w:t xml:space="preserve">Transport Mode (Main Shipment):</w:t>
      </w:r>
      <w:r>
        <w:t xml:space="preserve"> </w:t>
      </w:r>
      <w:r>
        <w:t xml:space="preserve">Select Mode = Ocean Freight (China to Europe).</w:t>
      </w:r>
    </w:p>
    <w:p>
      <w:pPr>
        <w:numPr>
          <w:ilvl w:val="0"/>
          <w:numId w:val="1008"/>
        </w:numPr>
        <w:pStyle w:val="Compact"/>
      </w:pPr>
      <w:r>
        <w:rPr>
          <w:bCs/>
          <w:b/>
        </w:rPr>
        <w:t xml:space="preserve">Transport Distance (Ocean Freight):</w:t>
      </w:r>
      <w:r>
        <w:t xml:space="preserve"> </w:t>
      </w:r>
      <w:r>
        <w:t xml:space="preserve">gzilivjkvf = 15,000 km.</w:t>
      </w:r>
    </w:p>
    <w:p>
      <w:pPr>
        <w:numPr>
          <w:ilvl w:val="0"/>
          <w:numId w:val="1008"/>
        </w:numPr>
        <w:pStyle w:val="Compact"/>
      </w:pPr>
      <w:r>
        <w:rPr>
          <w:bCs/>
          <w:b/>
        </w:rPr>
        <w:t xml:space="preserve">Transport Mode (Regional/Last-Mile):</w:t>
      </w:r>
      <w:r>
        <w:t xml:space="preserve"> </w:t>
      </w:r>
      <w:r>
        <w:t xml:space="preserve">Truck (Heavy Goods Vehicle - HGV) for distribution to local hubs, followed by Parcel Post for last-mile delivery.</w:t>
      </w:r>
    </w:p>
    <w:p>
      <w:pPr>
        <w:numPr>
          <w:ilvl w:val="0"/>
          <w:numId w:val="1008"/>
        </w:numPr>
        <w:pStyle w:val="Compact"/>
      </w:pPr>
      <w:r>
        <w:rPr>
          <w:bCs/>
          <w:b/>
        </w:rPr>
        <w:t xml:space="preserve">Transport Distance (Truck):</w:t>
      </w:r>
      <w:r>
        <w:t xml:space="preserve"> </w:t>
      </w:r>
      <w:r>
        <w:t xml:space="preserve">500 km (illustrative for distribution within Europe).</w:t>
      </w:r>
    </w:p>
    <w:p>
      <w:pPr>
        <w:numPr>
          <w:ilvl w:val="0"/>
          <w:numId w:val="1008"/>
        </w:numPr>
        <w:pStyle w:val="Compact"/>
      </w:pPr>
      <w:r>
        <w:rPr>
          <w:bCs/>
          <w:b/>
        </w:rPr>
        <w:t xml:space="preserve">Last-Mile Delivery Channel:</w:t>
      </w:r>
      <w:r>
        <w:t xml:space="preserve"> </w:t>
      </w:r>
      <w:r>
        <w:t xml:space="preserve">Delivery Type = Parcel Post.</w:t>
      </w:r>
    </w:p>
    <w:p>
      <w:pPr>
        <w:pStyle w:val="FirstParagraph"/>
      </w:pPr>
      <w:r>
        <w:rPr>
          <w:iCs/>
          <w:i/>
        </w:rPr>
        <w:t xml:space="preserve">Illustrative Emission Factors: Ocean Freight: 0.015 kgCO₂e/tonne-km. Truck (HGV): 0.087 kgCO₂e/tonne-km. Parcel Post: Assumed 0.5 kgCO₂e/item (highly variable, estimated).</w:t>
      </w:r>
    </w:p>
    <w:bookmarkEnd w:id="32"/>
    <w:bookmarkStart w:id="33" w:name="use-phase-data"/>
    <w:p>
      <w:pPr>
        <w:pStyle w:val="Heading3"/>
      </w:pPr>
      <w:r>
        <w:t xml:space="preserve">3.4 Use Phase Data</w:t>
      </w:r>
    </w:p>
    <w:p>
      <w:pPr>
        <w:numPr>
          <w:ilvl w:val="0"/>
          <w:numId w:val="1009"/>
        </w:numPr>
        <w:pStyle w:val="Compact"/>
      </w:pPr>
      <w:r>
        <w:rPr>
          <w:bCs/>
          <w:b/>
        </w:rPr>
        <w:t xml:space="preserve">Product Lifespan:</w:t>
      </w:r>
      <w:r>
        <w:t xml:space="preserve"> </w:t>
      </w:r>
      <w:r>
        <w:t xml:space="preserve">nqjjvzmepi = 7 years.</w:t>
      </w:r>
    </w:p>
    <w:p>
      <w:pPr>
        <w:numPr>
          <w:ilvl w:val="0"/>
          <w:numId w:val="1009"/>
        </w:numPr>
        <w:pStyle w:val="Compact"/>
      </w:pPr>
      <w:r>
        <w:rPr>
          <w:bCs/>
          <w:b/>
        </w:rPr>
        <w:t xml:space="preserve">Energy Consumption in Use:</w:t>
      </w:r>
      <w:r>
        <w:t xml:space="preserve"> </w:t>
      </w:r>
      <w:r>
        <w:t xml:space="preserve">lizngvsiko = 5 kWh/year.</w:t>
      </w:r>
    </w:p>
    <w:p>
      <w:pPr>
        <w:numPr>
          <w:ilvl w:val="0"/>
          <w:numId w:val="1009"/>
        </w:numPr>
        <w:pStyle w:val="Compact"/>
      </w:pPr>
      <w:r>
        <w:rPr>
          <w:bCs/>
          <w:b/>
        </w:rPr>
        <w:t xml:space="preserve">Electricity Grid Emission Factor (Europe focus, average):</w:t>
      </w:r>
      <w:r>
        <w:t xml:space="preserve"> </w:t>
      </w:r>
      <w:r>
        <w:t xml:space="preserve">An illustrative average of 0.25 kgCO₂e/kWh is assumed for electricity consumed during the product\'s use phase in Europe.</w:t>
      </w:r>
    </w:p>
    <w:bookmarkEnd w:id="33"/>
    <w:bookmarkStart w:id="34" w:name="end-of-life-eol-scenarios"/>
    <w:p>
      <w:pPr>
        <w:pStyle w:val="Heading3"/>
      </w:pPr>
      <w:r>
        <w:t xml:space="preserve">3.5 End-of-Life (EoL) Scenarios</w:t>
      </w:r>
    </w:p>
    <w:p>
      <w:pPr>
        <w:numPr>
          <w:ilvl w:val="0"/>
          <w:numId w:val="1010"/>
        </w:numPr>
        <w:pStyle w:val="Compact"/>
      </w:pPr>
      <w:r>
        <w:rPr>
          <w:bCs/>
          <w:b/>
        </w:rPr>
        <w:t xml:space="preserve">Recyclability Percentage:</w:t>
      </w:r>
      <w:r>
        <w:t xml:space="preserve"> </w:t>
      </w:r>
      <w:r>
        <w:t xml:space="preserve">iifhwpsuuo = 85%.</w:t>
      </w:r>
    </w:p>
    <w:p>
      <w:pPr>
        <w:numPr>
          <w:ilvl w:val="0"/>
          <w:numId w:val="1010"/>
        </w:numPr>
        <w:pStyle w:val="Compact"/>
      </w:pPr>
      <w:r>
        <w:rPr>
          <w:bCs/>
          <w:b/>
        </w:rPr>
        <w:t xml:space="preserve">Circular/Take-back Programs:</w:t>
      </w:r>
      <w:r>
        <w:t xml:space="preserve"> </w:t>
      </w:r>
      <w:r>
        <w:t xml:space="preserve">kedygyxlud = jkmmldopey is implementing a comprehensive take-back program in key European markets, encouraging customers to return end-of-life products for responsible recycling and material recovery.</w:t>
      </w:r>
    </w:p>
    <w:p>
      <w:pPr>
        <w:pStyle w:val="FirstParagraph"/>
      </w:pPr>
      <w:r>
        <w:rPr>
          <w:iCs/>
          <w:i/>
        </w:rPr>
        <w:t xml:space="preserve">Assumptions: Recycling credits will be applied for the 85% recyclable portion, representing avoided virgin material production. Remaining 15% is assumed to be disposed of (e.g., landfill).</w:t>
      </w:r>
    </w:p>
    <w:p>
      <w:r>
        <w:pict>
          <v:rect style="width:0;height:1.5pt" o:hralign="center" o:hrstd="t" o:hr="t"/>
        </w:pict>
      </w:r>
    </w:p>
    <w:bookmarkEnd w:id="34"/>
    <w:bookmarkEnd w:id="35"/>
    <w:bookmarkStart w:id="48" w:name="Xe156f3a774124d90821f5a9dd2a33dd50db36e7"/>
    <w:p>
      <w:pPr>
        <w:pStyle w:val="Heading2"/>
      </w:pPr>
      <w:r>
        <w:t xml:space="preserve">4. Calculate Emissions (Activity * Emission Factor = CO₂e)</w:t>
      </w:r>
    </w:p>
    <w:p>
      <w:pPr>
        <w:pStyle w:val="FirstParagraph"/>
      </w:pPr>
      <w:r>
        <w:t xml:space="preserve">Emissions are calculated per functional unit (1.0 unit of dhssoqogjd) across its lifecycle stages, categorized according to the GHG Protocol (Scope 1, Scope 2, Scope 3).</w:t>
      </w:r>
    </w:p>
    <w:bookmarkStart w:id="36" w:name="scope-1-emissions-direct-emissions"/>
    <w:p>
      <w:pPr>
        <w:pStyle w:val="Heading3"/>
      </w:pPr>
      <w:r>
        <w:t xml:space="preserve">4.1 Scope 1 Emissions (Direct Emissions)</w:t>
      </w:r>
    </w:p>
    <w:p>
      <w:pPr>
        <w:pStyle w:val="FirstParagraph"/>
      </w:pPr>
      <w:r>
        <w:t xml:space="preserve">For this product analysis, direct Scope 1 emissions primarily relate to any on-site fuel combustion for processes not covered by purchased electricity. Given the nature of a Smart Home Sensor and the provided parameters, specific on-site direct process emissions (e.g., from owned boilers/furnaces) are not detailed. Therefore, Scope 1 is considered negligible or embedded within upstream material production unless specific direct process emissions data is provided.</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Source</w:t>
            </w:r>
          </w:p>
        </w:tc>
        <w:tc>
          <w:tcPr/>
          <w:p>
            <w:pPr>
              <w:pStyle w:val="Compact"/>
              <w:jc w:val="left"/>
            </w:pPr>
            <w:r>
              <w:t xml:space="preserve">Activity Data</w:t>
            </w:r>
          </w:p>
        </w:tc>
        <w:tc>
          <w:tcPr/>
          <w:p>
            <w:pPr>
              <w:pStyle w:val="Compact"/>
              <w:jc w:val="left"/>
            </w:pPr>
            <w:r>
              <w:t xml:space="preserve">Emission Factor</w:t>
            </w:r>
          </w:p>
        </w:tc>
        <w:tc>
          <w:tcPr/>
          <w:p>
            <w:pPr>
              <w:pStyle w:val="Compact"/>
              <w:jc w:val="left"/>
            </w:pPr>
            <w:r>
              <w:t xml:space="preserve">CO₂e (kg)</w:t>
            </w:r>
          </w:p>
        </w:tc>
        <w:tc>
          <w:tcPr/>
          <w:p>
            <w:pPr>
              <w:pStyle w:val="Compact"/>
              <w:jc w:val="left"/>
            </w:pPr>
            <w:r>
              <w:t xml:space="preserve">GHG Scope</w:t>
            </w:r>
          </w:p>
        </w:tc>
      </w:tr>
      <w:tr>
        <w:tc>
          <w:tcPr/>
          <w:p>
            <w:pPr>
              <w:pStyle w:val="Compact"/>
              <w:jc w:val="left"/>
            </w:pPr>
            <w:r>
              <w:t xml:space="preserve">On-site Fuel Combustion / Direct Process Emissions</w:t>
            </w:r>
          </w:p>
        </w:tc>
        <w:tc>
          <w:tcPr/>
          <w:p>
            <w:pPr>
              <w:pStyle w:val="Compact"/>
              <w:jc w:val="left"/>
            </w:pPr>
            <w:r>
              <w:t xml:space="preserve">Not applicable / Assumed negligible for product manufacturing without specific data.</w:t>
            </w:r>
          </w:p>
        </w:tc>
        <w:tc>
          <w:tcPr/>
          <w:p>
            <w:pPr>
              <w:pStyle w:val="Compact"/>
              <w:jc w:val="left"/>
            </w:pPr>
            <w:r>
              <w:t xml:space="preserve">-</w:t>
            </w:r>
          </w:p>
        </w:tc>
        <w:tc>
          <w:tcPr/>
          <w:p>
            <w:pPr>
              <w:pStyle w:val="Compact"/>
              <w:jc w:val="left"/>
            </w:pPr>
            <w:r>
              <w:t xml:space="preserve">0.000</w:t>
            </w:r>
          </w:p>
        </w:tc>
        <w:tc>
          <w:tcPr/>
          <w:p>
            <w:pPr>
              <w:pStyle w:val="Compact"/>
              <w:jc w:val="left"/>
            </w:pPr>
            <w:r>
              <w:t xml:space="preserve">Scope 1</w:t>
            </w:r>
          </w:p>
        </w:tc>
      </w:tr>
    </w:tbl>
    <w:bookmarkEnd w:id="36"/>
    <w:bookmarkStart w:id="37" w:name="scope-2-emissions-purchased-electricity"/>
    <w:p>
      <w:pPr>
        <w:pStyle w:val="Heading3"/>
      </w:pPr>
      <w:r>
        <w:t xml:space="preserve">4.2 Scope 2 Emissions (Purchased Electricity)</w:t>
      </w:r>
    </w:p>
    <w:p>
      <w:pPr>
        <w:pStyle w:val="FirstParagraph"/>
      </w:pPr>
      <w:r>
        <w:t xml:space="preserve">These emissions arise from the electricity purchased for the manufacturing process of dhssoqogjd.</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Source</w:t>
            </w:r>
          </w:p>
        </w:tc>
        <w:tc>
          <w:tcPr/>
          <w:p>
            <w:pPr>
              <w:pStyle w:val="Compact"/>
              <w:jc w:val="left"/>
            </w:pPr>
            <w:r>
              <w:t xml:space="preserve">Activity Data</w:t>
            </w:r>
          </w:p>
        </w:tc>
        <w:tc>
          <w:tcPr/>
          <w:p>
            <w:pPr>
              <w:pStyle w:val="Compact"/>
              <w:jc w:val="left"/>
            </w:pPr>
            <w:r>
              <w:t xml:space="preserve">Adjusted Emission Factor (kgCO₂e/kWh)</w:t>
            </w:r>
          </w:p>
        </w:tc>
        <w:tc>
          <w:tcPr/>
          <w:p>
            <w:pPr>
              <w:pStyle w:val="Compact"/>
              <w:jc w:val="left"/>
            </w:pPr>
            <w:r>
              <w:t xml:space="preserve">CO₂e (kg)</w:t>
            </w:r>
          </w:p>
        </w:tc>
        <w:tc>
          <w:tcPr/>
          <w:p>
            <w:pPr>
              <w:pStyle w:val="Compact"/>
              <w:jc w:val="left"/>
            </w:pPr>
            <w:r>
              <w:t xml:space="preserve">GHG Scope</w:t>
            </w:r>
          </w:p>
        </w:tc>
      </w:tr>
      <w:tr>
        <w:tc>
          <w:tcPr/>
          <w:p>
            <w:pPr>
              <w:pStyle w:val="Compact"/>
              <w:jc w:val="left"/>
            </w:pPr>
            <w:r>
              <w:t xml:space="preserve">Manufacturing Energy Consumption</w:t>
            </w:r>
          </w:p>
        </w:tc>
        <w:tc>
          <w:tcPr/>
          <w:p>
            <w:pPr>
              <w:pStyle w:val="Compact"/>
              <w:jc w:val="left"/>
            </w:pPr>
            <w:r>
              <w:t xml:space="preserve">0.5 kWh/unit</w:t>
            </w:r>
          </w:p>
        </w:tc>
        <w:tc>
          <w:tcPr/>
          <w:p>
            <w:pPr>
              <w:pStyle w:val="Compact"/>
              <w:jc w:val="left"/>
            </w:pPr>
            <w:r>
              <w:t xml:space="preserve">0.28 (adjusted for 60% renewables in China)</w:t>
            </w:r>
          </w:p>
        </w:tc>
        <w:tc>
          <w:tcPr/>
          <w:p>
            <w:pPr>
              <w:pStyle w:val="Compact"/>
              <w:jc w:val="left"/>
            </w:pPr>
            <w:r>
              <w:t xml:space="preserve">0.140</w:t>
            </w:r>
          </w:p>
        </w:tc>
        <w:tc>
          <w:tcPr/>
          <w:p>
            <w:pPr>
              <w:pStyle w:val="Compact"/>
              <w:jc w:val="left"/>
            </w:pPr>
            <w:r>
              <w:t xml:space="preserve">Scope 2</w:t>
            </w:r>
          </w:p>
        </w:tc>
      </w:tr>
    </w:tbl>
    <w:bookmarkEnd w:id="37"/>
    <w:bookmarkStart w:id="45" w:name="scope-3-emissions-value-chain-emissions"/>
    <w:p>
      <w:pPr>
        <w:pStyle w:val="Heading3"/>
      </w:pPr>
      <w:r>
        <w:t xml:space="preserve">4.3 Scope 3 Emissions (Value Chain Emissions)</w:t>
      </w:r>
    </w:p>
    <w:p>
      <w:pPr>
        <w:pStyle w:val="FirstParagraph"/>
      </w:pPr>
      <w:r>
        <w:t xml:space="preserve">Scope 3 emissions constitute the majority of a product\'s carbon footprint, covering all indirect emissions in the value chain. This analysis ensures at least 95% coverage for Scope 3 reporting, aligning with 2026 requirements, and disaggregates data where feasible.</w:t>
      </w:r>
    </w:p>
    <w:bookmarkStart w:id="40" w:name="upstream-emissions-categories-1-8"/>
    <w:p>
      <w:pPr>
        <w:pStyle w:val="Heading4"/>
      </w:pPr>
      <w:r>
        <w:t xml:space="preserve">4.3.1 Upstream Emissions (Categories 1-8)</w:t>
      </w:r>
    </w:p>
    <w:bookmarkStart w:id="38" w:name="X56f81b443ebd89f3dffcc02b9be361636e6d140"/>
    <w:p>
      <w:pPr>
        <w:pStyle w:val="Heading5"/>
      </w:pPr>
      <w:r>
        <w:t xml:space="preserve">Material Acquisition &amp; Pre-processing (Category 1: Purchased Goods and Services)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Description</w:t>
            </w:r>
          </w:p>
        </w:tc>
        <w:tc>
          <w:tcPr/>
          <w:p>
            <w:pPr>
              <w:pStyle w:val="Compact"/>
              <w:jc w:val="left"/>
            </w:pPr>
            <w:r>
              <w:t xml:space="preserve">Qty (kg/unit)</w:t>
            </w:r>
          </w:p>
        </w:tc>
        <w:tc>
          <w:tcPr/>
          <w:p>
            <w:pPr>
              <w:pStyle w:val="Compact"/>
              <w:jc w:val="left"/>
            </w:pPr>
            <w:r>
              <w:t xml:space="preserve">Emission Factor (kgCO₂e/kg)</w:t>
            </w:r>
          </w:p>
        </w:tc>
        <w:tc>
          <w:tcPr/>
          <w:p>
            <w:pPr>
              <w:pStyle w:val="Compact"/>
              <w:jc w:val="left"/>
            </w:pPr>
            <w:r>
              <w:t xml:space="preserve">CO₂e (kg)</w:t>
            </w:r>
          </w:p>
        </w:tc>
        <w:tc>
          <w:tcPr/>
          <w:p>
            <w:pPr>
              <w:pStyle w:val="Compact"/>
              <w:jc w:val="left"/>
            </w:pPr>
            <w:r>
              <w:t xml:space="preserve">GHG Scope</w:t>
            </w:r>
          </w:p>
        </w:tc>
      </w:tr>
      <w:tr>
        <w:tc>
          <w:tcPr/>
          <w:p>
            <w:pPr>
              <w:pStyle w:val="Compact"/>
              <w:jc w:val="left"/>
            </w:pPr>
            <w:r>
              <w:t xml:space="preserve">Plastic Casing (ABS)</w:t>
            </w:r>
          </w:p>
        </w:tc>
        <w:tc>
          <w:tcPr/>
          <w:p>
            <w:pPr>
              <w:pStyle w:val="Compact"/>
              <w:jc w:val="left"/>
            </w:pPr>
            <w:r>
              <w:t xml:space="preserve">0.10</w:t>
            </w:r>
          </w:p>
        </w:tc>
        <w:tc>
          <w:tcPr/>
          <w:p>
            <w:pPr>
              <w:pStyle w:val="Compact"/>
              <w:jc w:val="left"/>
            </w:pPr>
            <w:r>
              <w:t xml:space="preserve">2.50</w:t>
            </w:r>
          </w:p>
        </w:tc>
        <w:tc>
          <w:tcPr/>
          <w:p>
            <w:pPr>
              <w:pStyle w:val="Compact"/>
              <w:jc w:val="left"/>
            </w:pPr>
            <w:r>
              <w:t xml:space="preserve">0.250</w:t>
            </w:r>
          </w:p>
        </w:tc>
        <w:tc>
          <w:tcPr/>
          <w:p>
            <w:pPr>
              <w:pStyle w:val="Compact"/>
              <w:jc w:val="left"/>
            </w:pPr>
            <w:r>
              <w:t xml:space="preserve">Scope 3</w:t>
            </w:r>
          </w:p>
        </w:tc>
      </w:tr>
      <w:tr>
        <w:tc>
          <w:tcPr/>
          <w:p>
            <w:pPr>
              <w:pStyle w:val="Compact"/>
              <w:jc w:val="left"/>
            </w:pPr>
            <w:r>
              <w:t xml:space="preserve">Printed Circuit Board (PCB)</w:t>
            </w:r>
          </w:p>
        </w:tc>
        <w:tc>
          <w:tcPr/>
          <w:p>
            <w:pPr>
              <w:pStyle w:val="Compact"/>
              <w:jc w:val="left"/>
            </w:pPr>
            <w:r>
              <w:t xml:space="preserve">0.02</w:t>
            </w:r>
          </w:p>
        </w:tc>
        <w:tc>
          <w:tcPr/>
          <w:p>
            <w:pPr>
              <w:pStyle w:val="Compact"/>
              <w:jc w:val="left"/>
            </w:pPr>
            <w:r>
              <w:t xml:space="preserve">20.00</w:t>
            </w:r>
          </w:p>
        </w:tc>
        <w:tc>
          <w:tcPr/>
          <w:p>
            <w:pPr>
              <w:pStyle w:val="Compact"/>
              <w:jc w:val="left"/>
            </w:pPr>
            <w:r>
              <w:t xml:space="preserve">0.400</w:t>
            </w:r>
          </w:p>
        </w:tc>
        <w:tc>
          <w:tcPr/>
          <w:p>
            <w:pPr>
              <w:pStyle w:val="Compact"/>
              <w:jc w:val="left"/>
            </w:pPr>
            <w:r>
              <w:t xml:space="preserve">Scope 3</w:t>
            </w:r>
          </w:p>
        </w:tc>
      </w:tr>
      <w:tr>
        <w:tc>
          <w:tcPr/>
          <w:p>
            <w:pPr>
              <w:pStyle w:val="Compact"/>
              <w:jc w:val="left"/>
            </w:pPr>
            <w:r>
              <w:t xml:space="preserve">Electronic Components</w:t>
            </w:r>
          </w:p>
        </w:tc>
        <w:tc>
          <w:tcPr/>
          <w:p>
            <w:pPr>
              <w:pStyle w:val="Compact"/>
              <w:jc w:val="left"/>
            </w:pPr>
            <w:r>
              <w:t xml:space="preserve">0.05</w:t>
            </w:r>
          </w:p>
        </w:tc>
        <w:tc>
          <w:tcPr/>
          <w:p>
            <w:pPr>
              <w:pStyle w:val="Compact"/>
              <w:jc w:val="left"/>
            </w:pPr>
            <w:r>
              <w:t xml:space="preserve">50.00</w:t>
            </w:r>
          </w:p>
        </w:tc>
        <w:tc>
          <w:tcPr/>
          <w:p>
            <w:pPr>
              <w:pStyle w:val="Compact"/>
              <w:jc w:val="left"/>
            </w:pPr>
            <w:r>
              <w:t xml:space="preserve">2.500</w:t>
            </w:r>
          </w:p>
        </w:tc>
        <w:tc>
          <w:tcPr/>
          <w:p>
            <w:pPr>
              <w:pStyle w:val="Compact"/>
              <w:jc w:val="left"/>
            </w:pPr>
            <w:r>
              <w:t xml:space="preserve">Scope 3</w:t>
            </w:r>
          </w:p>
        </w:tc>
      </w:tr>
      <w:tr>
        <w:tc>
          <w:tcPr/>
          <w:p>
            <w:pPr>
              <w:pStyle w:val="Compact"/>
              <w:jc w:val="left"/>
            </w:pPr>
            <w:r>
              <w:t xml:space="preserve">Recycled Cardboard Packaging</w:t>
            </w:r>
          </w:p>
        </w:tc>
        <w:tc>
          <w:tcPr/>
          <w:p>
            <w:pPr>
              <w:pStyle w:val="Compact"/>
              <w:jc w:val="left"/>
            </w:pPr>
            <w:r>
              <w:t xml:space="preserve">0.03</w:t>
            </w:r>
          </w:p>
        </w:tc>
        <w:tc>
          <w:tcPr/>
          <w:p>
            <w:pPr>
              <w:pStyle w:val="Compact"/>
              <w:jc w:val="left"/>
            </w:pPr>
            <w:r>
              <w:t xml:space="preserve">0.50</w:t>
            </w:r>
          </w:p>
        </w:tc>
        <w:tc>
          <w:tcPr/>
          <w:p>
            <w:pPr>
              <w:pStyle w:val="Compact"/>
              <w:jc w:val="left"/>
            </w:pPr>
            <w:r>
              <w:t xml:space="preserve">0.015</w:t>
            </w:r>
          </w:p>
        </w:tc>
        <w:tc>
          <w:tcPr/>
          <w:p>
            <w:pPr>
              <w:pStyle w:val="Compact"/>
              <w:jc w:val="left"/>
            </w:pPr>
            <w:r>
              <w:t xml:space="preserve">Scope 3</w:t>
            </w:r>
          </w:p>
        </w:tc>
      </w:tr>
      <w:tr>
        <w:tc>
          <w:tcPr>
            <w:gridSpan w:val="3"/>
          </w:tcPr>
          <w:p>
            <w:pPr>
              <w:pStyle w:val="Compact"/>
              <w:jc w:val="left"/>
            </w:pPr>
            <w:r>
              <w:t xml:space="preserve">Subtotal Material Emissions</w:t>
            </w:r>
          </w:p>
        </w:tc>
        <w:tc>
          <w:tcPr/>
          <w:p>
            <w:pPr>
              <w:pStyle w:val="Compact"/>
              <w:jc w:val="left"/>
            </w:pPr>
            <w:r>
              <w:t xml:space="preserve">3.165</w:t>
            </w:r>
          </w:p>
        </w:tc>
        <w:tc>
          <w:tcPr/>
          <w:p>
            <w:pPr>
              <w:pStyle w:val="Compact"/>
              <w:jc w:val="left"/>
            </w:pPr>
            <w:r>
              <w:t xml:space="preserve">Scope 3</w:t>
            </w:r>
          </w:p>
        </w:tc>
      </w:tr>
    </w:tbl>
    <w:bookmarkEnd w:id="38"/>
    <w:bookmarkStart w:id="39" w:name="X1ba14597aa58affb2f1bc7a69940c64f4addd9d"/>
    <w:p>
      <w:pPr>
        <w:pStyle w:val="Heading5"/>
      </w:pPr>
      <w:r>
        <w:t xml:space="preserve">Upstream Transportation and Distribution (Category 4)</w:t>
      </w:r>
    </w:p>
    <w:tbl>
      <w:tblPr>
        <w:tblStyle w:val="Table"/>
        <w:tblW w:type="auto" w:w="0"/>
        <w:tblLook w:firstRow="1" w:lastRow="0" w:firstColumn="0" w:lastColumn="0" w:noHBand="0" w:noVBand="0" w:val="0020"/>
        <w:jc w:val="start"/>
      </w:tblPr>
      <w:tblGrid>
        <w:gridCol w:w="1131"/>
        <w:gridCol w:w="1131"/>
        <w:gridCol w:w="1131"/>
        <w:gridCol w:w="1131"/>
        <w:gridCol w:w="1131"/>
        <w:gridCol w:w="1131"/>
        <w:gridCol w:w="1131"/>
      </w:tblGrid>
      <w:tr>
        <w:trPr>
          <w:tblHeader w:val="true"/>
        </w:trPr>
        <w:tc>
          <w:tcPr/>
          <w:p>
            <w:pPr>
              <w:pStyle w:val="Compact"/>
              <w:jc w:val="left"/>
            </w:pPr>
            <w:r>
              <w:t xml:space="preserve">Transport Stage</w:t>
            </w:r>
          </w:p>
        </w:tc>
        <w:tc>
          <w:tcPr/>
          <w:p>
            <w:pPr>
              <w:pStyle w:val="Compact"/>
              <w:jc w:val="left"/>
            </w:pPr>
            <w:r>
              <w:t xml:space="preserve">Mode</w:t>
            </w:r>
          </w:p>
        </w:tc>
        <w:tc>
          <w:tcPr/>
          <w:p>
            <w:pPr>
              <w:pStyle w:val="Compact"/>
              <w:jc w:val="left"/>
            </w:pPr>
            <w:r>
              <w:t xml:space="preserve">Weight (tonnes/unit)</w:t>
            </w:r>
          </w:p>
        </w:tc>
        <w:tc>
          <w:tcPr/>
          <w:p>
            <w:pPr>
              <w:pStyle w:val="Compact"/>
              <w:jc w:val="left"/>
            </w:pPr>
            <w:r>
              <w:t xml:space="preserve">Distance (km)</w:t>
            </w:r>
          </w:p>
        </w:tc>
        <w:tc>
          <w:tcPr/>
          <w:p>
            <w:pPr>
              <w:pStyle w:val="Compact"/>
              <w:jc w:val="left"/>
            </w:pPr>
            <w:r>
              <w:t xml:space="preserve">Emission Factor (kgCO₂e/tonne-km)</w:t>
            </w:r>
          </w:p>
        </w:tc>
        <w:tc>
          <w:tcPr/>
          <w:p>
            <w:pPr>
              <w:pStyle w:val="Compact"/>
              <w:jc w:val="left"/>
            </w:pPr>
            <w:r>
              <w:t xml:space="preserve">CO₂e (kg)</w:t>
            </w:r>
          </w:p>
        </w:tc>
        <w:tc>
          <w:tcPr/>
          <w:p>
            <w:pPr>
              <w:pStyle w:val="Compact"/>
              <w:jc w:val="left"/>
            </w:pPr>
            <w:r>
              <w:t xml:space="preserve">GHG Scope</w:t>
            </w:r>
          </w:p>
        </w:tc>
      </w:tr>
      <w:tr>
        <w:tc>
          <w:tcPr/>
          <w:p>
            <w:pPr>
              <w:pStyle w:val="Compact"/>
              <w:jc w:val="left"/>
            </w:pPr>
            <w:r>
              <w:t xml:space="preserve">Raw Material/Component Inbound (Global)</w:t>
            </w:r>
          </w:p>
        </w:tc>
        <w:tc>
          <w:tcPr/>
          <w:p>
            <w:pPr>
              <w:pStyle w:val="Compact"/>
              <w:jc w:val="left"/>
            </w:pPr>
            <w:r>
              <w:t xml:space="preserve">Ocean Freight</w:t>
            </w:r>
          </w:p>
        </w:tc>
        <w:tc>
          <w:tcPr/>
          <w:p>
            <w:pPr>
              <w:pStyle w:val="Compact"/>
              <w:jc w:val="left"/>
            </w:pPr>
            <w:r>
              <w:t xml:space="preserve">0.0002</w:t>
            </w:r>
          </w:p>
        </w:tc>
        <w:tc>
          <w:tcPr/>
          <w:p>
            <w:pPr>
              <w:pStyle w:val="Compact"/>
              <w:jc w:val="left"/>
            </w:pPr>
            <w:r>
              <w:t xml:space="preserve">15,000</w:t>
            </w:r>
          </w:p>
        </w:tc>
        <w:tc>
          <w:tcPr/>
          <w:p>
            <w:pPr>
              <w:pStyle w:val="Compact"/>
              <w:jc w:val="left"/>
            </w:pPr>
            <w:r>
              <w:t xml:space="preserve">0.015</w:t>
            </w:r>
          </w:p>
        </w:tc>
        <w:tc>
          <w:tcPr/>
          <w:p>
            <w:pPr>
              <w:pStyle w:val="Compact"/>
              <w:jc w:val="left"/>
            </w:pPr>
            <w:r>
              <w:t xml:space="preserve">0.045</w:t>
            </w:r>
          </w:p>
        </w:tc>
        <w:tc>
          <w:tcPr/>
          <w:p>
            <w:pPr>
              <w:pStyle w:val="Compact"/>
              <w:jc w:val="left"/>
            </w:pPr>
            <w:r>
              <w:t xml:space="preserve">Scope 3</w:t>
            </w:r>
          </w:p>
        </w:tc>
      </w:tr>
      <w:tr>
        <w:tc>
          <w:tcPr>
            <w:gridSpan w:val="5"/>
          </w:tcPr>
          <w:p>
            <w:pPr>
              <w:pStyle w:val="Compact"/>
              <w:jc w:val="left"/>
            </w:pPr>
            <w:r>
              <w:t xml:space="preserve">Subtotal Upstream Transportation Emissions</w:t>
            </w:r>
          </w:p>
        </w:tc>
        <w:tc>
          <w:tcPr/>
          <w:p>
            <w:pPr>
              <w:pStyle w:val="Compact"/>
              <w:jc w:val="left"/>
            </w:pPr>
            <w:r>
              <w:t xml:space="preserve">0.045</w:t>
            </w:r>
          </w:p>
        </w:tc>
        <w:tc>
          <w:tcPr/>
          <w:p>
            <w:pPr>
              <w:pStyle w:val="Compact"/>
              <w:jc w:val="left"/>
            </w:pPr>
            <w:r>
              <w:t xml:space="preserve">Scope 3</w:t>
            </w:r>
          </w:p>
        </w:tc>
      </w:tr>
    </w:tbl>
    <w:bookmarkEnd w:id="39"/>
    <w:bookmarkEnd w:id="40"/>
    <w:bookmarkStart w:id="44" w:name="downstream-emissions-categories-9-15"/>
    <w:p>
      <w:pPr>
        <w:pStyle w:val="Heading4"/>
      </w:pPr>
      <w:r>
        <w:t xml:space="preserve">4.3.2 Downstream Emissions (Categories 9-15)</w:t>
      </w:r>
    </w:p>
    <w:bookmarkStart w:id="41" w:name="X4a4e8e3b229fc696037344f6caf20042bf5cbd8"/>
    <w:p>
      <w:pPr>
        <w:pStyle w:val="Heading5"/>
      </w:pPr>
      <w:r>
        <w:t xml:space="preserve">Downstream Transportation and Distribution (Category 9)</w:t>
      </w:r>
    </w:p>
    <w:tbl>
      <w:tblPr>
        <w:tblStyle w:val="Table"/>
        <w:tblW w:type="auto" w:w="0"/>
        <w:tblLook w:firstRow="1" w:lastRow="0" w:firstColumn="0" w:lastColumn="0" w:noHBand="0" w:noVBand="0" w:val="0020"/>
        <w:jc w:val="start"/>
      </w:tblPr>
      <w:tblGrid>
        <w:gridCol w:w="1131"/>
        <w:gridCol w:w="1131"/>
        <w:gridCol w:w="1131"/>
        <w:gridCol w:w="1131"/>
        <w:gridCol w:w="1131"/>
        <w:gridCol w:w="1131"/>
        <w:gridCol w:w="1131"/>
      </w:tblGrid>
      <w:tr>
        <w:trPr>
          <w:tblHeader w:val="true"/>
        </w:trPr>
        <w:tc>
          <w:tcPr/>
          <w:p>
            <w:pPr>
              <w:pStyle w:val="Compact"/>
              <w:jc w:val="left"/>
            </w:pPr>
            <w:r>
              <w:t xml:space="preserve">Transport Stage</w:t>
            </w:r>
          </w:p>
        </w:tc>
        <w:tc>
          <w:tcPr/>
          <w:p>
            <w:pPr>
              <w:pStyle w:val="Compact"/>
              <w:jc w:val="left"/>
            </w:pPr>
            <w:r>
              <w:t xml:space="preserve">Mode</w:t>
            </w:r>
          </w:p>
        </w:tc>
        <w:tc>
          <w:tcPr/>
          <w:p>
            <w:pPr>
              <w:pStyle w:val="Compact"/>
              <w:jc w:val="left"/>
            </w:pPr>
            <w:r>
              <w:t xml:space="preserve">Weight (tonnes/unit) / Items</w:t>
            </w:r>
          </w:p>
        </w:tc>
        <w:tc>
          <w:tcPr/>
          <w:p>
            <w:pPr>
              <w:pStyle w:val="Compact"/>
              <w:jc w:val="left"/>
            </w:pPr>
            <w:r>
              <w:t xml:space="preserve">Distance (km) / Factor Type</w:t>
            </w:r>
          </w:p>
        </w:tc>
        <w:tc>
          <w:tcPr/>
          <w:p>
            <w:pPr>
              <w:pStyle w:val="Compact"/>
              <w:jc w:val="left"/>
            </w:pPr>
            <w:r>
              <w:t xml:space="preserve">Emission Factor (kgCO₂e/tonne-km or /item)</w:t>
            </w:r>
          </w:p>
        </w:tc>
        <w:tc>
          <w:tcPr/>
          <w:p>
            <w:pPr>
              <w:pStyle w:val="Compact"/>
              <w:jc w:val="left"/>
            </w:pPr>
            <w:r>
              <w:t xml:space="preserve">CO₂e (kg)</w:t>
            </w:r>
          </w:p>
        </w:tc>
        <w:tc>
          <w:tcPr/>
          <w:p>
            <w:pPr>
              <w:pStyle w:val="Compact"/>
              <w:jc w:val="left"/>
            </w:pPr>
            <w:r>
              <w:t xml:space="preserve">GHG Scope</w:t>
            </w:r>
          </w:p>
        </w:tc>
      </w:tr>
      <w:tr>
        <w:tc>
          <w:tcPr/>
          <w:p>
            <w:pPr>
              <w:pStyle w:val="Compact"/>
              <w:jc w:val="left"/>
            </w:pPr>
            <w:r>
              <w:t xml:space="preserve">Finished Product (Factory to EU DC)</w:t>
            </w:r>
          </w:p>
        </w:tc>
        <w:tc>
          <w:tcPr/>
          <w:p>
            <w:pPr>
              <w:pStyle w:val="Compact"/>
              <w:jc w:val="left"/>
            </w:pPr>
            <w:r>
              <w:t xml:space="preserve">Truck (HGV)</w:t>
            </w:r>
          </w:p>
        </w:tc>
        <w:tc>
          <w:tcPr/>
          <w:p>
            <w:pPr>
              <w:pStyle w:val="Compact"/>
              <w:jc w:val="left"/>
            </w:pPr>
            <w:r>
              <w:t xml:space="preserve">0.0002</w:t>
            </w:r>
          </w:p>
        </w:tc>
        <w:tc>
          <w:tcPr/>
          <w:p>
            <w:pPr>
              <w:pStyle w:val="Compact"/>
              <w:jc w:val="left"/>
            </w:pPr>
            <w:r>
              <w:t xml:space="preserve">500</w:t>
            </w:r>
          </w:p>
        </w:tc>
        <w:tc>
          <w:tcPr/>
          <w:p>
            <w:pPr>
              <w:pStyle w:val="Compact"/>
              <w:jc w:val="left"/>
            </w:pPr>
            <w:r>
              <w:t xml:space="preserve">0.087</w:t>
            </w:r>
          </w:p>
        </w:tc>
        <w:tc>
          <w:tcPr/>
          <w:p>
            <w:pPr>
              <w:pStyle w:val="Compact"/>
              <w:jc w:val="left"/>
            </w:pPr>
            <w:r>
              <w:t xml:space="preserve">0.0087</w:t>
            </w:r>
          </w:p>
        </w:tc>
        <w:tc>
          <w:tcPr/>
          <w:p>
            <w:pPr>
              <w:pStyle w:val="Compact"/>
              <w:jc w:val="left"/>
            </w:pPr>
            <w:r>
              <w:t xml:space="preserve">Scope 3</w:t>
            </w:r>
          </w:p>
        </w:tc>
      </w:tr>
      <w:tr>
        <w:tc>
          <w:tcPr/>
          <w:p>
            <w:pPr>
              <w:pStyle w:val="Compact"/>
              <w:jc w:val="left"/>
            </w:pPr>
            <w:r>
              <w:t xml:space="preserve">Last-Mile Delivery</w:t>
            </w:r>
          </w:p>
        </w:tc>
        <w:tc>
          <w:tcPr/>
          <w:p>
            <w:pPr>
              <w:pStyle w:val="Compact"/>
              <w:jc w:val="left"/>
            </w:pPr>
            <w:r>
              <w:t xml:space="preserve">Parcel Post</w:t>
            </w:r>
          </w:p>
        </w:tc>
        <w:tc>
          <w:tcPr/>
          <w:p>
            <w:pPr>
              <w:pStyle w:val="Compact"/>
              <w:jc w:val="left"/>
            </w:pPr>
            <w:r>
              <w:t xml:space="preserve">1 item</w:t>
            </w:r>
          </w:p>
        </w:tc>
        <w:tc>
          <w:tcPr/>
          <w:p>
            <w:pPr>
              <w:pStyle w:val="Compact"/>
              <w:jc w:val="left"/>
            </w:pPr>
            <w:r>
              <w:t xml:space="preserve">N/A (per item factor)</w:t>
            </w:r>
          </w:p>
        </w:tc>
        <w:tc>
          <w:tcPr/>
          <w:p>
            <w:pPr>
              <w:pStyle w:val="Compact"/>
              <w:jc w:val="left"/>
            </w:pPr>
            <w:r>
              <w:t xml:space="preserve">0.500</w:t>
            </w:r>
          </w:p>
        </w:tc>
        <w:tc>
          <w:tcPr/>
          <w:p>
            <w:pPr>
              <w:pStyle w:val="Compact"/>
              <w:jc w:val="left"/>
            </w:pPr>
            <w:r>
              <w:t xml:space="preserve">0.500</w:t>
            </w:r>
          </w:p>
        </w:tc>
        <w:tc>
          <w:tcPr/>
          <w:p>
            <w:pPr>
              <w:pStyle w:val="Compact"/>
              <w:jc w:val="left"/>
            </w:pPr>
            <w:r>
              <w:t xml:space="preserve">Scope 3</w:t>
            </w:r>
          </w:p>
        </w:tc>
      </w:tr>
      <w:tr>
        <w:tc>
          <w:tcPr>
            <w:gridSpan w:val="5"/>
          </w:tcPr>
          <w:p>
            <w:pPr>
              <w:pStyle w:val="Compact"/>
              <w:jc w:val="left"/>
            </w:pPr>
            <w:r>
              <w:t xml:space="preserve">Subtotal Downstream Transportation Emissions</w:t>
            </w:r>
          </w:p>
        </w:tc>
        <w:tc>
          <w:tcPr/>
          <w:p>
            <w:pPr>
              <w:pStyle w:val="Compact"/>
              <w:jc w:val="left"/>
            </w:pPr>
            <w:r>
              <w:t xml:space="preserve">0.5087</w:t>
            </w:r>
          </w:p>
        </w:tc>
        <w:tc>
          <w:tcPr/>
          <w:p>
            <w:pPr>
              <w:pStyle w:val="Compact"/>
              <w:jc w:val="left"/>
            </w:pPr>
            <w:r>
              <w:t xml:space="preserve">Scope 3</w:t>
            </w:r>
          </w:p>
        </w:tc>
      </w:tr>
    </w:tbl>
    <w:bookmarkEnd w:id="41"/>
    <w:bookmarkStart w:id="42" w:name="use-of-sold-products-category-11"/>
    <w:p>
      <w:pPr>
        <w:pStyle w:val="Heading5"/>
      </w:pPr>
      <w:r>
        <w:t xml:space="preserve">Use of Sold Products (Category 11)</w:t>
      </w:r>
    </w:p>
    <w:tbl>
      <w:tblPr>
        <w:tblStyle w:val="Table"/>
        <w:tblW w:type="auto" w:w="0"/>
        <w:tblLook w:firstRow="1" w:lastRow="0" w:firstColumn="0" w:lastColumn="0" w:noHBand="0" w:noVBand="0" w:val="0020"/>
        <w:jc w:val="start"/>
      </w:tblPr>
      <w:tblGrid>
        <w:gridCol w:w="1131"/>
        <w:gridCol w:w="1131"/>
        <w:gridCol w:w="1131"/>
        <w:gridCol w:w="1131"/>
        <w:gridCol w:w="1131"/>
        <w:gridCol w:w="1131"/>
        <w:gridCol w:w="1131"/>
      </w:tblGrid>
      <w:tr>
        <w:trPr>
          <w:tblHeader w:val="true"/>
        </w:trPr>
        <w:tc>
          <w:tcPr/>
          <w:p>
            <w:pPr>
              <w:pStyle w:val="Compact"/>
              <w:jc w:val="left"/>
            </w:pPr>
            <w:r>
              <w:t xml:space="preserve">Source</w:t>
            </w:r>
          </w:p>
        </w:tc>
        <w:tc>
          <w:tcPr/>
          <w:p>
            <w:pPr>
              <w:pStyle w:val="Compact"/>
              <w:jc w:val="left"/>
            </w:pPr>
            <w:r>
              <w:t xml:space="preserve">Activity Data</w:t>
            </w:r>
          </w:p>
        </w:tc>
        <w:tc>
          <w:tcPr/>
          <w:p>
            <w:pPr>
              <w:pStyle w:val="Compact"/>
              <w:jc w:val="left"/>
            </w:pPr>
            <w:r>
              <w:t xml:space="preserve">Lifespan (years)</w:t>
            </w:r>
          </w:p>
        </w:tc>
        <w:tc>
          <w:tcPr/>
          <w:p>
            <w:pPr>
              <w:pStyle w:val="Compact"/>
              <w:jc w:val="left"/>
            </w:pPr>
            <w:r>
              <w:t xml:space="preserve">Energy Consumed (kWh/year)</w:t>
            </w:r>
          </w:p>
        </w:tc>
        <w:tc>
          <w:tcPr/>
          <w:p>
            <w:pPr>
              <w:pStyle w:val="Compact"/>
              <w:jc w:val="left"/>
            </w:pPr>
            <w:r>
              <w:t xml:space="preserve">Emission Factor (kgCO₂e/kWh)</w:t>
            </w:r>
          </w:p>
        </w:tc>
        <w:tc>
          <w:tcPr/>
          <w:p>
            <w:pPr>
              <w:pStyle w:val="Compact"/>
              <w:jc w:val="left"/>
            </w:pPr>
            <w:r>
              <w:t xml:space="preserve">CO₂e (kg)</w:t>
            </w:r>
          </w:p>
        </w:tc>
        <w:tc>
          <w:tcPr/>
          <w:p>
            <w:pPr>
              <w:pStyle w:val="Compact"/>
              <w:jc w:val="left"/>
            </w:pPr>
            <w:r>
              <w:t xml:space="preserve">GHG Scope</w:t>
            </w:r>
          </w:p>
        </w:tc>
      </w:tr>
      <w:tr>
        <w:tc>
          <w:tcPr/>
          <w:p>
            <w:pPr>
              <w:pStyle w:val="Compact"/>
              <w:jc w:val="left"/>
            </w:pPr>
            <w:r>
              <w:t xml:space="preserve">Electricity Consumption during Use</w:t>
            </w:r>
          </w:p>
        </w:tc>
        <w:tc>
          <w:tcPr/>
          <w:p>
            <w:pPr>
              <w:pStyle w:val="Compact"/>
              <w:jc w:val="left"/>
            </w:pPr>
            <w:r>
              <w:t xml:space="preserve">1.0 unit</w:t>
            </w:r>
          </w:p>
        </w:tc>
        <w:tc>
          <w:tcPr/>
          <w:p>
            <w:pPr>
              <w:pStyle w:val="Compact"/>
              <w:jc w:val="left"/>
            </w:pPr>
            <w:r>
              <w:t xml:space="preserve">7</w:t>
            </w:r>
          </w:p>
        </w:tc>
        <w:tc>
          <w:tcPr/>
          <w:p>
            <w:pPr>
              <w:pStyle w:val="Compact"/>
              <w:jc w:val="left"/>
            </w:pPr>
            <w:r>
              <w:t xml:space="preserve">5</w:t>
            </w:r>
          </w:p>
        </w:tc>
        <w:tc>
          <w:tcPr/>
          <w:p>
            <w:pPr>
              <w:pStyle w:val="Compact"/>
              <w:jc w:val="left"/>
            </w:pPr>
            <w:r>
              <w:t xml:space="preserve">0.25 (Europe average)</w:t>
            </w:r>
          </w:p>
        </w:tc>
        <w:tc>
          <w:tcPr/>
          <w:p>
            <w:pPr>
              <w:pStyle w:val="Compact"/>
              <w:jc w:val="left"/>
            </w:pPr>
            <w:r>
              <w:t xml:space="preserve">8.750</w:t>
            </w:r>
          </w:p>
        </w:tc>
        <w:tc>
          <w:tcPr/>
          <w:p>
            <w:pPr>
              <w:pStyle w:val="Compact"/>
              <w:jc w:val="left"/>
            </w:pPr>
            <w:r>
              <w:t xml:space="preserve">Scope 3</w:t>
            </w:r>
          </w:p>
        </w:tc>
      </w:tr>
      <w:tr>
        <w:tc>
          <w:tcPr>
            <w:gridSpan w:val="5"/>
          </w:tcPr>
          <w:p>
            <w:pPr>
              <w:pStyle w:val="Compact"/>
              <w:jc w:val="left"/>
            </w:pPr>
            <w:r>
              <w:t xml:space="preserve">Subtotal Use Phase Emissions</w:t>
            </w:r>
          </w:p>
        </w:tc>
        <w:tc>
          <w:tcPr/>
          <w:p>
            <w:pPr>
              <w:pStyle w:val="Compact"/>
              <w:jc w:val="left"/>
            </w:pPr>
            <w:r>
              <w:t xml:space="preserve">8.750</w:t>
            </w:r>
          </w:p>
        </w:tc>
        <w:tc>
          <w:tcPr/>
          <w:p>
            <w:pPr>
              <w:pStyle w:val="Compact"/>
              <w:jc w:val="left"/>
            </w:pPr>
            <w:r>
              <w:t xml:space="preserve">Scope 3</w:t>
            </w:r>
          </w:p>
        </w:tc>
      </w:tr>
    </w:tbl>
    <w:bookmarkEnd w:id="42"/>
    <w:bookmarkStart w:id="43" w:name="X7eecd0528a4129578e12f0f82acdf78ed4201e7"/>
    <w:p>
      <w:pPr>
        <w:pStyle w:val="Heading5"/>
      </w:pPr>
      <w:r>
        <w:t xml:space="preserve">End-of-Life Treatment of Sold Products (Category 12)</w:t>
      </w:r>
    </w:p>
    <w:p>
      <w:pPr>
        <w:pStyle w:val="FirstParagraph"/>
      </w:pPr>
      <w:r>
        <w:t xml:space="preserve">The product dhssoqogjd has an 85% recyclability percentage, with circular/take-back programs in place. This translates to avoided emissions from virgin material production for the recycled portion, resulting in a net credit.</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Scenario</w:t>
            </w:r>
          </w:p>
        </w:tc>
        <w:tc>
          <w:tcPr/>
          <w:p>
            <w:pPr>
              <w:pStyle w:val="Compact"/>
              <w:jc w:val="left"/>
            </w:pPr>
            <w:r>
              <w:t xml:space="preserve">Assumptions</w:t>
            </w:r>
          </w:p>
        </w:tc>
        <w:tc>
          <w:tcPr/>
          <w:p>
            <w:pPr>
              <w:pStyle w:val="Compact"/>
              <w:jc w:val="left"/>
            </w:pPr>
            <w:r>
              <w:t xml:space="preserve">Calculation Details</w:t>
            </w:r>
          </w:p>
        </w:tc>
        <w:tc>
          <w:tcPr/>
          <w:p>
            <w:pPr>
              <w:pStyle w:val="Compact"/>
              <w:jc w:val="left"/>
            </w:pPr>
            <w:r>
              <w:t xml:space="preserve">CO₂e (kg)</w:t>
            </w:r>
          </w:p>
        </w:tc>
        <w:tc>
          <w:tcPr/>
          <w:p>
            <w:pPr>
              <w:pStyle w:val="Compact"/>
              <w:jc w:val="left"/>
            </w:pPr>
            <w:r>
              <w:t xml:space="preserve">GHG Scope</w:t>
            </w:r>
          </w:p>
        </w:tc>
      </w:tr>
      <w:tr>
        <w:tc>
          <w:tcPr/>
          <w:p>
            <w:pPr>
              <w:pStyle w:val="Compact"/>
              <w:jc w:val="left"/>
            </w:pPr>
            <w:r>
              <w:t xml:space="preserve">Recycling Credit (85%)</w:t>
            </w:r>
          </w:p>
        </w:tc>
        <w:tc>
          <w:tcPr/>
          <w:p>
            <w:pPr>
              <w:pStyle w:val="Compact"/>
              <w:jc w:val="left"/>
            </w:pPr>
            <w:r>
              <w:t xml:space="preserve">Avoided virgin material production</w:t>
            </w:r>
          </w:p>
        </w:tc>
        <w:tc>
          <w:tcPr/>
          <w:p>
            <w:pPr>
              <w:pStyle w:val="Compact"/>
              <w:jc w:val="left"/>
            </w:pPr>
            <w:r>
              <w:t xml:space="preserve">85% of Total Material Emissions (3.165 kgCO₂e) avoided</w:t>
            </w:r>
          </w:p>
        </w:tc>
        <w:tc>
          <w:tcPr/>
          <w:p>
            <w:pPr>
              <w:pStyle w:val="Compact"/>
              <w:jc w:val="left"/>
            </w:pPr>
            <w:r>
              <w:t xml:space="preserve">-2.690</w:t>
            </w:r>
          </w:p>
        </w:tc>
        <w:tc>
          <w:tcPr/>
          <w:p>
            <w:pPr>
              <w:pStyle w:val="Compact"/>
              <w:jc w:val="left"/>
            </w:pPr>
            <w:r>
              <w:t xml:space="preserve">Scope 3</w:t>
            </w:r>
          </w:p>
        </w:tc>
      </w:tr>
      <w:tr>
        <w:tc>
          <w:tcPr/>
          <w:p>
            <w:pPr>
              <w:pStyle w:val="Compact"/>
              <w:jc w:val="left"/>
            </w:pPr>
            <w:r>
              <w:t xml:space="preserve">Disposal Emissions (15%)</w:t>
            </w:r>
          </w:p>
        </w:tc>
        <w:tc>
          <w:tcPr/>
          <w:p>
            <w:pPr>
              <w:pStyle w:val="Compact"/>
              <w:jc w:val="left"/>
            </w:pPr>
            <w:r>
              <w:t xml:space="preserve">15% of product (0.03 kg) to landfill; EF for mixed waste: 0.2 kgCO₂e/kg</w:t>
            </w:r>
          </w:p>
        </w:tc>
        <w:tc>
          <w:tcPr/>
          <w:p>
            <w:pPr>
              <w:pStyle w:val="Compact"/>
              <w:jc w:val="left"/>
            </w:pPr>
            <w:r>
              <w:t xml:space="preserve">0.03 kg * 0.2 kgCO₂e/kg</w:t>
            </w:r>
          </w:p>
        </w:tc>
        <w:tc>
          <w:tcPr/>
          <w:p>
            <w:pPr>
              <w:pStyle w:val="Compact"/>
              <w:jc w:val="left"/>
            </w:pPr>
            <w:r>
              <w:t xml:space="preserve">0.006</w:t>
            </w:r>
          </w:p>
        </w:tc>
        <w:tc>
          <w:tcPr/>
          <w:p>
            <w:pPr>
              <w:pStyle w:val="Compact"/>
              <w:jc w:val="left"/>
            </w:pPr>
            <w:r>
              <w:t xml:space="preserve">Scope 3</w:t>
            </w:r>
          </w:p>
        </w:tc>
      </w:tr>
      <w:tr>
        <w:tc>
          <w:tcPr>
            <w:gridSpan w:val="3"/>
          </w:tcPr>
          <w:p>
            <w:pPr>
              <w:pStyle w:val="Compact"/>
              <w:jc w:val="left"/>
            </w:pPr>
            <w:r>
              <w:t xml:space="preserve">Subtotal End-of-Life Emissions / Credit</w:t>
            </w:r>
          </w:p>
        </w:tc>
        <w:tc>
          <w:tcPr/>
          <w:p>
            <w:pPr>
              <w:pStyle w:val="Compact"/>
              <w:jc w:val="left"/>
            </w:pPr>
            <w:r>
              <w:t xml:space="preserve">-2.684</w:t>
            </w:r>
          </w:p>
        </w:tc>
        <w:tc>
          <w:tcPr/>
          <w:p>
            <w:pPr>
              <w:pStyle w:val="Compact"/>
              <w:jc w:val="left"/>
            </w:pPr>
            <w:r>
              <w:t xml:space="preserve">Scope 3</w:t>
            </w:r>
          </w:p>
        </w:tc>
      </w:tr>
    </w:tbl>
    <w:bookmarkEnd w:id="43"/>
    <w:bookmarkEnd w:id="44"/>
    <w:bookmarkEnd w:id="45"/>
    <w:bookmarkStart w:id="46" w:name="X299a3717db401fbc63eac38de0814f3ad8939f4"/>
    <w:p>
      <w:pPr>
        <w:pStyle w:val="Heading3"/>
      </w:pPr>
      <w:r>
        <w:t xml:space="preserve">4.4 Total Product Carbon Footprint (PCF) Summary</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GHG Scope</w:t>
            </w:r>
          </w:p>
        </w:tc>
        <w:tc>
          <w:tcPr/>
          <w:p>
            <w:pPr>
              <w:pStyle w:val="Compact"/>
              <w:jc w:val="left"/>
            </w:pPr>
            <w:r>
              <w:t xml:space="preserve">Lifecycle Stage</w:t>
            </w:r>
          </w:p>
        </w:tc>
        <w:tc>
          <w:tcPr/>
          <w:p>
            <w:pPr>
              <w:pStyle w:val="Compact"/>
              <w:jc w:val="left"/>
            </w:pPr>
            <w:r>
              <w:t xml:space="preserve">CO₂e (kg/unit)</w:t>
            </w:r>
          </w:p>
        </w:tc>
      </w:tr>
      <w:tr>
        <w:tc>
          <w:tcPr/>
          <w:p>
            <w:pPr>
              <w:pStyle w:val="Compact"/>
              <w:jc w:val="left"/>
            </w:pPr>
            <w:r>
              <w:t xml:space="preserve">Scope 1</w:t>
            </w:r>
          </w:p>
        </w:tc>
        <w:tc>
          <w:tcPr/>
          <w:p>
            <w:pPr>
              <w:pStyle w:val="Compact"/>
              <w:jc w:val="left"/>
            </w:pPr>
            <w:r>
              <w:t xml:space="preserve">Direct Emissions (Manufacturing)</w:t>
            </w:r>
          </w:p>
        </w:tc>
        <w:tc>
          <w:tcPr/>
          <w:p>
            <w:pPr>
              <w:pStyle w:val="Compact"/>
              <w:jc w:val="left"/>
            </w:pPr>
            <w:r>
              <w:t xml:space="preserve">0.000</w:t>
            </w:r>
          </w:p>
        </w:tc>
      </w:tr>
      <w:tr>
        <w:tc>
          <w:tcPr/>
          <w:p>
            <w:pPr>
              <w:pStyle w:val="Compact"/>
              <w:jc w:val="left"/>
            </w:pPr>
            <w:r>
              <w:t xml:space="preserve">Scope 2</w:t>
            </w:r>
          </w:p>
        </w:tc>
        <w:tc>
          <w:tcPr/>
          <w:p>
            <w:pPr>
              <w:pStyle w:val="Compact"/>
              <w:jc w:val="left"/>
            </w:pPr>
            <w:r>
              <w:t xml:space="preserve">Purchased Electricity (Manufacturing)</w:t>
            </w:r>
          </w:p>
        </w:tc>
        <w:tc>
          <w:tcPr/>
          <w:p>
            <w:pPr>
              <w:pStyle w:val="Compact"/>
              <w:jc w:val="left"/>
            </w:pPr>
            <w:r>
              <w:t xml:space="preserve">0.140</w:t>
            </w:r>
          </w:p>
        </w:tc>
      </w:tr>
      <w:tr>
        <w:tc>
          <w:tcPr>
            <w:vMerge w:val="restart"/>
          </w:tcPr>
          <w:p>
            <w:pPr>
              <w:pStyle w:val="Compact"/>
              <w:jc w:val="left"/>
            </w:pPr>
            <w:r>
              <w:t xml:space="preserve">Scope 3</w:t>
            </w:r>
          </w:p>
        </w:tc>
        <w:tc>
          <w:tcPr/>
          <w:p>
            <w:pPr>
              <w:pStyle w:val="Compact"/>
              <w:jc w:val="left"/>
            </w:pPr>
            <w:r>
              <w:t xml:space="preserve">Material Acquisition &amp; Pre-processing</w:t>
            </w:r>
          </w:p>
        </w:tc>
        <w:tc>
          <w:tcPr/>
          <w:p>
            <w:pPr>
              <w:pStyle w:val="Compact"/>
              <w:jc w:val="left"/>
            </w:pPr>
            <w:r>
              <w:t xml:space="preserve">3.165</w:t>
            </w:r>
          </w:p>
        </w:tc>
      </w:tr>
      <w:tr>
        <w:tc>
          <w:tcPr>
            <w:gridSpan w:val="1"/>
            <w:vMerge w:val="continue"/>
          </w:tcPr>
          <w:p>
            <w:pPr/>
          </w:p>
        </w:tc>
        <w:tc>
          <w:tcPr/>
          <w:p>
            <w:pPr>
              <w:pStyle w:val="Compact"/>
              <w:jc w:val="left"/>
            </w:pPr>
            <w:r>
              <w:t xml:space="preserve">Upstream Transportation</w:t>
            </w:r>
          </w:p>
        </w:tc>
        <w:tc>
          <w:tcPr/>
          <w:p>
            <w:pPr>
              <w:pStyle w:val="Compact"/>
              <w:jc w:val="left"/>
            </w:pPr>
            <w:r>
              <w:t xml:space="preserve">0.045</w:t>
            </w:r>
          </w:p>
        </w:tc>
      </w:tr>
      <w:tr>
        <w:tc>
          <w:tcPr>
            <w:gridSpan w:val="1"/>
            <w:vMerge w:val="continue"/>
          </w:tcPr>
          <w:p>
            <w:pPr/>
          </w:p>
        </w:tc>
        <w:tc>
          <w:tcPr/>
          <w:p>
            <w:pPr>
              <w:pStyle w:val="Compact"/>
              <w:jc w:val="left"/>
            </w:pPr>
            <w:r>
              <w:t xml:space="preserve">Downstream Transportation &amp; Last-Mile</w:t>
            </w:r>
          </w:p>
        </w:tc>
        <w:tc>
          <w:tcPr/>
          <w:p>
            <w:pPr>
              <w:pStyle w:val="Compact"/>
              <w:jc w:val="left"/>
            </w:pPr>
            <w:r>
              <w:t xml:space="preserve">0.509</w:t>
            </w:r>
          </w:p>
        </w:tc>
      </w:tr>
      <w:tr>
        <w:tc>
          <w:tcPr>
            <w:gridSpan w:val="1"/>
            <w:vMerge w:val="continue"/>
          </w:tcPr>
          <w:p>
            <w:pPr/>
          </w:p>
        </w:tc>
        <w:tc>
          <w:tcPr/>
          <w:p>
            <w:pPr>
              <w:pStyle w:val="Compact"/>
              <w:jc w:val="left"/>
            </w:pPr>
            <w:r>
              <w:t xml:space="preserve">Use of Sold Products</w:t>
            </w:r>
          </w:p>
        </w:tc>
        <w:tc>
          <w:tcPr/>
          <w:p>
            <w:pPr>
              <w:pStyle w:val="Compact"/>
              <w:jc w:val="left"/>
            </w:pPr>
            <w:r>
              <w:t xml:space="preserve">8.750</w:t>
            </w:r>
          </w:p>
        </w:tc>
      </w:tr>
      <w:tr>
        <w:tc>
          <w:tcPr/>
          <w:p>
            <w:pPr>
              <w:pStyle w:val="Compact"/>
              <w:jc w:val="left"/>
            </w:pPr>
            <w:r>
              <w:t xml:space="preserve">Scope 3</w:t>
            </w:r>
          </w:p>
        </w:tc>
        <w:tc>
          <w:tcPr/>
          <w:p>
            <w:pPr>
              <w:pStyle w:val="Compact"/>
              <w:jc w:val="left"/>
            </w:pPr>
            <w:r>
              <w:t xml:space="preserve">End-of-Life Treatment (Net)</w:t>
            </w:r>
          </w:p>
        </w:tc>
        <w:tc>
          <w:tcPr/>
          <w:p>
            <w:pPr>
              <w:pStyle w:val="Compact"/>
              <w:jc w:val="left"/>
            </w:pPr>
            <w:r>
              <w:t xml:space="preserve">-2.684</w:t>
            </w:r>
          </w:p>
        </w:tc>
      </w:tr>
      <w:tr>
        <w:tc>
          <w:tcPr>
            <w:gridSpan w:val="2"/>
          </w:tcPr>
          <w:p>
            <w:pPr>
              <w:pStyle w:val="Compact"/>
              <w:jc w:val="left"/>
            </w:pPr>
            <w:r>
              <w:t xml:space="preserve">TOTAL PRODUCT CARBON FOOTPRINT (kgCO₂e/unit)</w:t>
            </w:r>
          </w:p>
        </w:tc>
        <w:tc>
          <w:tcPr/>
          <w:p>
            <w:pPr>
              <w:pStyle w:val="Compact"/>
              <w:jc w:val="left"/>
            </w:pPr>
            <w:r>
              <w:t xml:space="preserve">9.925</w:t>
            </w:r>
          </w:p>
        </w:tc>
      </w:tr>
    </w:tbl>
    <w:p>
      <w:pPr>
        <w:pStyle w:val="BodyText"/>
      </w:pPr>
      <w:r>
        <w:rPr>
          <w:iCs/>
          <w:i/>
        </w:rPr>
        <w:t xml:space="preserve">Note: Values may slightly vary due to rounding in intermediate calculations.</w:t>
      </w:r>
    </w:p>
    <w:bookmarkEnd w:id="46"/>
    <w:bookmarkStart w:id="47" w:name="X70f835b837f1aa1c51e58d34f7e1362f80d3b36"/>
    <w:p>
      <w:pPr>
        <w:pStyle w:val="Heading3"/>
      </w:pPr>
      <w:r>
        <w:t xml:space="preserve">4.5 2026 Land Sector and Removals (LSR) Standard Update Application</w:t>
      </w:r>
    </w:p>
    <w:p>
      <w:pPr>
        <w:pStyle w:val="FirstParagraph"/>
      </w:pPr>
      <w:r>
        <w:t xml:space="preserve">The GHG Protocol\'s Land Sector and Removals (LSR) Standard, released in January 2026 and effective January 1, 2027, provides accounting requirements and guidance for land emissions, CO₂ removals, and other key metrics. While the dhssoqogjd Smart Home Sensor itself does not have direct land-sector activities, its upstream supply chain (e.g., raw material extraction for plastics and metals) may involve land-use changes or agricultural inputs. jkmmldopey will integrate the LSR Standard requirements into its broader Scope 3 assessment for relevant categories as the standard becomes mandatory, particularly for categories with significant biogenic emissions or removals. The accompanying guidance for the LSR Standard is expected in Q2 2026, which will further support implementation.</w:t>
      </w:r>
    </w:p>
    <w:p>
      <w:r>
        <w:pict>
          <v:rect style="width:0;height:1.5pt" o:hralign="center" o:hrstd="t" o:hr="t"/>
        </w:pict>
      </w:r>
    </w:p>
    <w:bookmarkEnd w:id="47"/>
    <w:bookmarkEnd w:id="48"/>
    <w:bookmarkStart w:id="52" w:name="review-report"/>
    <w:p>
      <w:pPr>
        <w:pStyle w:val="Heading2"/>
      </w:pPr>
      <w:r>
        <w:t xml:space="preserve">5. Review &amp; Report</w:t>
      </w:r>
    </w:p>
    <w:bookmarkStart w:id="49" w:name="emission-hotspots-and-reliability"/>
    <w:p>
      <w:pPr>
        <w:pStyle w:val="Heading3"/>
      </w:pPr>
      <w:r>
        <w:t xml:space="preserve">5.1 Emission Hotspots and Reliability</w:t>
      </w:r>
    </w:p>
    <w:p>
      <w:pPr>
        <w:pStyle w:val="FirstParagraph"/>
      </w:pPr>
      <w:r>
        <w:t xml:space="preserve">The PCF analysis for dhssoqogjd reveals the following primary emission hotspots:</w:t>
      </w:r>
    </w:p>
    <w:p>
      <w:pPr>
        <w:numPr>
          <w:ilvl w:val="0"/>
          <w:numId w:val="1011"/>
        </w:numPr>
        <w:pStyle w:val="Compact"/>
      </w:pPr>
      <w:r>
        <w:rPr>
          <w:bCs/>
          <w:b/>
        </w:rPr>
        <w:t xml:space="preserve">Use Phase (8.750 kgCO₂e):</w:t>
      </w:r>
      <w:r>
        <w:t xml:space="preserve"> </w:t>
      </w:r>
      <w:r>
        <w:t xml:space="preserve">This is the most significant contributor, primarily due to the electricity consumption over the product\'s 7-year lifespan. This highlights the importance of energy efficiency during product operation and the carbon intensity of the electricity grid where the product is used.</w:t>
      </w:r>
    </w:p>
    <w:p>
      <w:pPr>
        <w:numPr>
          <w:ilvl w:val="0"/>
          <w:numId w:val="1011"/>
        </w:numPr>
        <w:pStyle w:val="Compact"/>
      </w:pPr>
      <w:r>
        <w:rPr>
          <w:bCs/>
          <w:b/>
        </w:rPr>
        <w:t xml:space="preserve">Material Acquisition &amp; Pre-processing (3.165 kgCO₂e):</w:t>
      </w:r>
      <w:r>
        <w:t xml:space="preserve"> </w:t>
      </w:r>
      <w:r>
        <w:t xml:space="preserve">The production of electronic components and the PCB contributes substantially to the upstream footprint, reflecting the energy-intensive manufacturing processes and complex supply chains for these materials.</w:t>
      </w:r>
    </w:p>
    <w:p>
      <w:pPr>
        <w:numPr>
          <w:ilvl w:val="0"/>
          <w:numId w:val="1011"/>
        </w:numPr>
        <w:pStyle w:val="Compact"/>
      </w:pPr>
      <w:r>
        <w:rPr>
          <w:bCs/>
          <w:b/>
        </w:rPr>
        <w:t xml:space="preserve">Downstream Transportation &amp; Last-Mile Delivery (0.509 kgCO₂e):</w:t>
      </w:r>
      <w:r>
        <w:t xml:space="preserve"> </w:t>
      </w:r>
      <w:r>
        <w:t xml:space="preserve">While smaller than the use phase, last-mile delivery via parcel post shows a notable impact per unit, indicating an area for optimized logistics and greener last-mile solutions.</w:t>
      </w:r>
    </w:p>
    <w:p>
      <w:pPr>
        <w:numPr>
          <w:ilvl w:val="0"/>
          <w:numId w:val="1011"/>
        </w:numPr>
        <w:pStyle w:val="Compact"/>
      </w:pPr>
      <w:r>
        <w:rPr>
          <w:bCs/>
          <w:b/>
        </w:rPr>
        <w:t xml:space="preserve">End-of-Life (Net Credit of -2.684 kgCO₂e):</w:t>
      </w:r>
      <w:r>
        <w:t xml:space="preserve"> </w:t>
      </w:r>
      <w:r>
        <w:t xml:space="preserve">The high recyclability percentage and the existence of take-back programs result in a significant net credit, showcasing the positive impact of circular economy initiatives.</w:t>
      </w:r>
    </w:p>
    <w:p>
      <w:pPr>
        <w:pStyle w:val="FirstParagraph"/>
      </w:pPr>
      <w:r>
        <w:t xml:space="preserve">The reliability of this report is based on the adherence to GHG Protocol methodology and the use of industry-standard emission factors. While specific primary data for all elements was not provided (e.g., supplier-specific emission factors for all BOM items, precise last-mile delivery EFs), illustrative data based on typical industry averages (e.g., Ecoinvent/DEFRA equivalents) has been applied. Future improvements can involve collecting more primary data from suppliers and logistics partners.</w:t>
      </w:r>
    </w:p>
    <w:bookmarkEnd w:id="49"/>
    <w:bookmarkStart w:id="50" w:name="recommendations-for-emissions-reduction"/>
    <w:p>
      <w:pPr>
        <w:pStyle w:val="Heading3"/>
      </w:pPr>
      <w:r>
        <w:t xml:space="preserve">5.2 Recommendations for Emissions Reduction</w:t>
      </w:r>
    </w:p>
    <w:p>
      <w:pPr>
        <w:numPr>
          <w:ilvl w:val="0"/>
          <w:numId w:val="1012"/>
        </w:numPr>
        <w:pStyle w:val="Compact"/>
      </w:pPr>
      <w:r>
        <w:rPr>
          <w:bCs/>
          <w:b/>
        </w:rPr>
        <w:t xml:space="preserve">Optimize Use Phase Energy Efficiency:</w:t>
      </w:r>
      <w:r>
        <w:t xml:space="preserve"> </w:t>
      </w:r>
      <w:r>
        <w:t xml:space="preserve">Focus on designing next-generation products with even lower power consumption during operation. Explore integration with smart grids or renewable energy sources to further reduce the use phase impact.</w:t>
      </w:r>
    </w:p>
    <w:p>
      <w:pPr>
        <w:numPr>
          <w:ilvl w:val="0"/>
          <w:numId w:val="1012"/>
        </w:numPr>
        <w:pStyle w:val="Compact"/>
      </w:pPr>
      <w:r>
        <w:rPr>
          <w:bCs/>
          <w:b/>
        </w:rPr>
        <w:t xml:space="preserve">Supply Chain Engagement for Materials:</w:t>
      </w:r>
      <w:r>
        <w:t xml:space="preserve"> </w:t>
      </w:r>
      <w:r>
        <w:t xml:space="preserve">Collaborate with suppliers of electronic components and PCBs to identify and implement lower-carbon manufacturing processes or source materials from suppliers using renewable energy.</w:t>
      </w:r>
    </w:p>
    <w:p>
      <w:pPr>
        <w:numPr>
          <w:ilvl w:val="0"/>
          <w:numId w:val="1012"/>
        </w:numPr>
        <w:pStyle w:val="Compact"/>
      </w:pPr>
      <w:r>
        <w:rPr>
          <w:bCs/>
          <w:b/>
        </w:rPr>
        <w:t xml:space="preserve">Green Logistics for Downstream:</w:t>
      </w:r>
      <w:r>
        <w:t xml:space="preserve"> </w:t>
      </w:r>
      <w:r>
        <w:t xml:space="preserve">Invest in or partner with logistics providers offering electric vehicle fleets for last-mile delivery, or explore consolidated shipping options to reduce the impact of downstream transportation.</w:t>
      </w:r>
    </w:p>
    <w:p>
      <w:pPr>
        <w:numPr>
          <w:ilvl w:val="0"/>
          <w:numId w:val="1012"/>
        </w:numPr>
        <w:pStyle w:val="Compact"/>
      </w:pPr>
      <w:r>
        <w:rPr>
          <w:bCs/>
          <w:b/>
        </w:rPr>
        <w:t xml:space="preserve">Enhance Circularity:</w:t>
      </w:r>
      <w:r>
        <w:t xml:space="preserve"> </w:t>
      </w:r>
      <w:r>
        <w:t xml:space="preserve">Continue to promote and expand take-back programs and investigate opportunities to increase the recyclability percentage even further, or incorporate more recycled content in product manufacturing.</w:t>
      </w:r>
    </w:p>
    <w:bookmarkEnd w:id="50"/>
    <w:bookmarkStart w:id="51" w:name="scope-3-compliance-2026-requirements"/>
    <w:p>
      <w:pPr>
        <w:pStyle w:val="Heading3"/>
      </w:pPr>
      <w:r>
        <w:t xml:space="preserve">5.3 Scope 3 Compliance (2026 Requirements)</w:t>
      </w:r>
    </w:p>
    <w:p>
      <w:pPr>
        <w:pStyle w:val="FirstParagraph"/>
      </w:pPr>
      <w:r>
        <w:t xml:space="preserve">jkmmldopey is committed to achieving at least 95% coverage for its Scope 3 reporting, in line with the GHG Protocol\'s 2026 requirements. This report demonstrates comprehensive coverage across relevant Scope 3 categories (Purchased Goods and Services, Transportation, Use of Sold Products, End-of-Life Treatment). Future efforts will focus on mandatory data disaggregation by source type (primary vs. secondary data) to enhance data quality and transparency, as outlined in the GHG Protocol\'s Phase 1 Progress Update released in March 2026.</w:t>
      </w:r>
    </w:p>
    <w:p>
      <w:r>
        <w:pict>
          <v:rect style="width:0;height:1.5pt" o:hralign="center" o:hrstd="t" o:hr="t"/>
        </w:pict>
      </w:r>
    </w:p>
    <w:p>
      <w:pPr>
        <w:pStyle w:val="FirstParagraph"/>
      </w:pPr>
      <w:r>
        <w:t xml:space="preserve">Confidential - Internal Use Only | Page</w:t>
      </w:r>
      <w:r>
        <w:t xml:space="preserve"> </w:t>
      </w:r>
    </w:p>
    <w:bookmarkEnd w:id="51"/>
    <w:bookmarkEnd w:id="5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Carbon Footprint Report for dhssoqogjd</dc:title>
  <dc:creator/>
  <dc:description>High-detail Product Carbon Footprint (PCF) analysis for dhssoqogjd, performed by Senior Sustainability Consultant zihoedxhyu for jkmmldopey, adhering to GHG Protocol and 2026 updates.</dc:description>
  <dc:language>en</dc:language>
  <cp:keywords/>
  <dcterms:created xsi:type="dcterms:W3CDTF">2026-10-16T17:13:09Z</dcterms:created>
  <dcterms:modified xsi:type="dcterms:W3CDTF">2026-10-16T17:13:09Z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