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dhssoqogjd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dhssoqogjd-smart-home-sensor"/>
    <w:p>
      <w:pPr>
        <w:pStyle w:val="Heading2"/>
      </w:pPr>
      <w:r>
        <w:t xml:space="preserve">Product: dhssoqogjd (Smart Home Sensor)</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jkmmldopey</w:t>
      </w:r>
    </w:p>
    <w:p>
      <w:pPr>
        <w:pStyle w:val="BodyText"/>
      </w:pPr>
      <w:r>
        <w:rPr>
          <w:bCs/>
          <w:b/>
        </w:rPr>
        <w:t xml:space="preserve">Senior Sustainability Consultant:</w:t>
      </w:r>
      <w:r>
        <w:t xml:space="preserve"> </w:t>
      </w:r>
      <w:r>
        <w:t xml:space="preserve">zihoedxhyu</w:t>
      </w:r>
    </w:p>
    <w:p>
      <w:pPr>
        <w:pStyle w:val="BodyText"/>
      </w:pPr>
      <w:r>
        <w:t xml:space="preserve">This report is generated based on available data and industry standards. All calculations are illustrative, utilizing provided parameters and general emission factors where specific data was not supplied.</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dhssoqogjd (Smart Home Sensor)</w:t>
      </w:r>
    </w:p>
    <w:p>
      <w:pPr>
        <w:pStyle w:val="BodyText"/>
      </w:pPr>
      <w:r>
        <w:rPr>
          <w:bCs/>
          <w:b/>
        </w:rPr>
        <w:t xml:space="preserve">Company:</w:t>
      </w:r>
      <w:r>
        <w:t xml:space="preserve"> </w:t>
      </w:r>
      <w:r>
        <w:t xml:space="preserve">jkmmldopey</w:t>
      </w:r>
    </w:p>
    <w:p>
      <w:pPr>
        <w:pStyle w:val="BodyText"/>
      </w:pPr>
      <w:r>
        <w:rPr>
          <w:bCs/>
          <w:b/>
        </w:rPr>
        <w:t xml:space="preserve">Senior Sustainability Consultant:</w:t>
      </w:r>
      <w:r>
        <w:t xml:space="preserve"> </w:t>
      </w:r>
      <w:r>
        <w:t xml:space="preserve">zihoedxhyu</w:t>
      </w:r>
    </w:p>
    <w:p>
      <w:pPr>
        <w:pStyle w:val="BodyText"/>
      </w:pPr>
      <w:r>
        <w:t xml:space="preserve">Generated Date:</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dhssoqogjd, a Smart Home Sensor, manufactured by jkmmldopey. The analysis was conducted by zihoedxhyu, a Senior Sustainability Consultant, adhering strictly to the Greenhouse Gas (GHG) Protocol. The aim is to quantify the total greenhouse gas emissions (expressed in kg CO₂e) across the product\'s lifecycle, identify emission hotspots, and provide insights for potential reduction strategies. This analysis incorporates detailed Bill of Materials (BOM) data, specific logistics, production energy usage, use phase consumption, and end-of-life scenarios to provide a comprehensive cradle-to-grave assessment.</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the dhssoqogjd Smart Home Sensor. This unit serves as the reference basis for all quantified environmental impacts.</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While the initial focus for primary production is \'factory_gate\', a comprehensive cradle-to-grave analysis has been performed as requested, encompassing all stages from raw material extraction to end-of-life. This includes:</w:t>
      </w:r>
    </w:p>
    <w:p>
      <w:pPr>
        <w:numPr>
          <w:ilvl w:val="1"/>
          <w:numId w:val="1003"/>
        </w:numPr>
        <w:pStyle w:val="Compact"/>
      </w:pPr>
      <w:r>
        <w:t xml:space="preserve">Raw Material Acquisition &amp; Pre-processing</w:t>
      </w:r>
    </w:p>
    <w:p>
      <w:pPr>
        <w:numPr>
          <w:ilvl w:val="1"/>
          <w:numId w:val="1003"/>
        </w:numPr>
        <w:pStyle w:val="Compact"/>
      </w:pPr>
      <w:r>
        <w:t xml:space="preserve">Manufacturing</w:t>
      </w:r>
    </w:p>
    <w:p>
      <w:pPr>
        <w:numPr>
          <w:ilvl w:val="1"/>
          <w:numId w:val="1003"/>
        </w:numPr>
        <w:pStyle w:val="Compact"/>
      </w:pPr>
      <w:r>
        <w:t xml:space="preserve">Transportation (upstream and downstream)</w:t>
      </w:r>
    </w:p>
    <w:p>
      <w:pPr>
        <w:numPr>
          <w:ilvl w:val="1"/>
          <w:numId w:val="1003"/>
        </w:numPr>
        <w:pStyle w:val="Compact"/>
      </w:pPr>
      <w:r>
        <w:t xml:space="preserve">Product Use Phase</w:t>
      </w:r>
    </w:p>
    <w:p>
      <w:pPr>
        <w:numPr>
          <w:ilvl w:val="1"/>
          <w:numId w:val="1003"/>
        </w:numPr>
        <w:pStyle w:val="Compact"/>
      </w:pPr>
      <w:r>
        <w:t xml:space="preserve">End-of-Life Management</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transportation to and use within Europe)</w:t>
      </w:r>
    </w:p>
    <w:bookmarkEnd w:id="26"/>
    <w:bookmarkStart w:id="27"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value chain emissions) to align with corporate reporting standards.</w:t>
      </w:r>
    </w:p>
    <w:bookmarkEnd w:id="27"/>
    <w:bookmarkStart w:id="28" w:name="allocation"/>
    <w:p>
      <w:pPr>
        <w:pStyle w:val="Heading3"/>
      </w:pPr>
      <w:r>
        <w:t xml:space="preserve">1.5 Allocation</w:t>
      </w:r>
    </w:p>
    <w:p>
      <w:pPr>
        <w:numPr>
          <w:ilvl w:val="0"/>
          <w:numId w:val="1006"/>
        </w:numPr>
        <w:pStyle w:val="Compact"/>
      </w:pPr>
      <w:r>
        <w:t xml:space="preserve">Emissions have been allocated directly to the functional unit (1.0 unit of dhssoqogjd) based on mass, energy consumption, and distance where applicable. No co-product or by-product allocation was required for this specific product analysis.</w:t>
      </w:r>
    </w:p>
    <w:p>
      <w:r>
        <w:pict>
          <v:rect style="width:0;height:1.5pt" o:hralign="center" o:hrstd="t" o:hr="t"/>
        </w:pict>
      </w:r>
    </w:p>
    <w:bookmarkEnd w:id="28"/>
    <w:bookmarkEnd w:id="29"/>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primary and secondary data collected and the mapping of the product\'s lifecycle. Illustrative data and emission factors are used based on the provided parameters where specific values were not available.</w:t>
      </w:r>
    </w:p>
    <w:bookmarkStart w:id="30" w:name="X1ed739b58fe4d71d405ee4a51527209bbe913e1"/>
    <w:p>
      <w:pPr>
        <w:pStyle w:val="Heading3"/>
      </w:pPr>
      <w:r>
        <w:t xml:space="preserve">3.1 Detailed Bill of Materials (BOM) for dhssoqogjd</w:t>
      </w:r>
    </w:p>
    <w:p>
      <w:pPr>
        <w:pStyle w:val="FirstParagraph"/>
      </w:pPr>
      <w:r>
        <w:t xml:space="preserve">The following Bill of Materials (BOM) data (uijjplgs) was used for high-accuracy material impact calculation. Emission factors are representative industry averages (e.g., Ecoinvent/DEFRA equivalents) for similar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0.250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0.400</w:t>
            </w:r>
          </w:p>
        </w:tc>
      </w:tr>
      <w:tr>
        <w:tc>
          <w:tcPr/>
          <w:p>
            <w:pPr>
              <w:pStyle w:val="Compact"/>
              <w:jc w:val="left"/>
            </w:pPr>
            <w:r>
              <w:t xml:space="preserve">M003</w:t>
            </w:r>
          </w:p>
        </w:tc>
        <w:tc>
          <w:tcPr/>
          <w:p>
            <w:pPr>
              <w:pStyle w:val="Compact"/>
              <w:jc w:val="left"/>
            </w:pPr>
            <w:r>
              <w:t xml:space="preserve">Electronic Components (IC, Resistors, etc.)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0.015</w:t>
            </w:r>
          </w:p>
        </w:tc>
      </w:tr>
      <w:tr>
        <w:tc>
          <w:tcPr>
            <w:gridSpan w:val="7"/>
          </w:tcPr>
          <w:p>
            <w:pPr>
              <w:pStyle w:val="Compact"/>
              <w:jc w:val="left"/>
            </w:pPr>
            <w:r>
              <w:t xml:space="preserve">Total Material Emissions (Upstream, Scope 3)</w:t>
            </w:r>
          </w:p>
        </w:tc>
        <w:tc>
          <w:tcPr/>
          <w:p>
            <w:pPr>
              <w:pStyle w:val="Compact"/>
              <w:jc w:val="left"/>
            </w:pPr>
            <w:r>
              <w:t xml:space="preserve">3.165</w:t>
            </w:r>
          </w:p>
        </w:tc>
      </w:tr>
    </w:tbl>
    <w:p>
      <w:pPr>
        <w:pStyle w:val="BodyText"/>
      </w:pPr>
      <w:r>
        <w:rPr>
          <w:iCs/>
          <w:i/>
        </w:rPr>
        <w:t xml:space="preserve">Assumptions: Material emission factors are illustrative averages. Total product weight (excluding packaging) for transport calculations is approximately 0.17 kg (0.10 + 0.02 + 0.05). Total product weight including packaging is 0.2 kg.</w:t>
      </w:r>
    </w:p>
    <w:bookmarkEnd w:id="30"/>
    <w:bookmarkStart w:id="31" w:name="energy-inputs-manufacturing-phase"/>
    <w:p>
      <w:pPr>
        <w:pStyle w:val="Heading3"/>
      </w:pPr>
      <w:r>
        <w:t xml:space="preserve">3.2 Energy Inputs (Manufacturing Phase)</w:t>
      </w:r>
    </w:p>
    <w:p>
      <w:pPr>
        <w:numPr>
          <w:ilvl w:val="0"/>
          <w:numId w:val="1007"/>
        </w:numPr>
        <w:pStyle w:val="Compact"/>
      </w:pPr>
      <w:r>
        <w:rPr>
          <w:bCs/>
          <w:b/>
        </w:rPr>
        <w:t xml:space="preserve">Energy Intensity (kWh/unit):</w:t>
      </w:r>
      <w:r>
        <w:t xml:space="preserve"> </w:t>
      </w:r>
      <w:r>
        <w:t xml:space="preserve">ghzmnynokl = 0.5 kWh/unit</w:t>
      </w:r>
    </w:p>
    <w:p>
      <w:pPr>
        <w:numPr>
          <w:ilvl w:val="0"/>
          <w:numId w:val="1007"/>
        </w:numPr>
        <w:pStyle w:val="Compact"/>
      </w:pPr>
      <w:r>
        <w:rPr>
          <w:bCs/>
          <w:b/>
        </w:rPr>
        <w:t xml:space="preserve">Renewable Energy Usage:</w:t>
      </w:r>
      <w:r>
        <w:t xml:space="preserve"> </w:t>
      </w:r>
      <w:r>
        <w:t xml:space="preserve">wkyuiqriim = 60% (This reduces the effective grid emission factor for company operations).</w:t>
      </w:r>
    </w:p>
    <w:p>
      <w:pPr>
        <w:numPr>
          <w:ilvl w:val="0"/>
          <w:numId w:val="1007"/>
        </w:numPr>
        <w:pStyle w:val="Compact"/>
      </w:pPr>
      <w:r>
        <w:rPr>
          <w:bCs/>
          <w:b/>
        </w:rPr>
        <w:t xml:space="preserve">Electricity Grid Emission Factor (China):</w:t>
      </w:r>
      <w:r>
        <w:t xml:space="preserve"> </w:t>
      </w:r>
      <w:r>
        <w:t xml:space="preserve">An illustrative factor of 0.7 kgCO₂e/kWh is used for China\'s grid, considering recent trends and data.</w:t>
      </w:r>
    </w:p>
    <w:p>
      <w:pPr>
        <w:numPr>
          <w:ilvl w:val="0"/>
          <w:numId w:val="1007"/>
        </w:numPr>
        <w:pStyle w:val="Compact"/>
      </w:pPr>
      <w:r>
        <w:rPr>
          <w:bCs/>
          <w:b/>
        </w:rPr>
        <w:t xml:space="preserve">Adjusted Electricity Emission Factor for jkmmldopey:</w:t>
      </w:r>
      <w:r>
        <w:t xml:space="preserve"> </w:t>
      </w:r>
      <w:r>
        <w:t xml:space="preserve">(1 - 0.60 renewable usage) * 0.7 kgCO₂e/kWh = 0.4 * 0.7 = 0.28 kgCO₂e/kWh.</w:t>
      </w:r>
    </w:p>
    <w:p>
      <w:pPr>
        <w:pStyle w:val="FirstParagraph"/>
      </w:pPr>
      <w:r>
        <w:rPr>
          <w:iCs/>
          <w:i/>
        </w:rPr>
        <w:t xml:space="preserve">This adjusted factor accounts for the company\'s commitment to renewable energy, reducing the carbon intensity of its purchased electricity.</w:t>
      </w:r>
    </w:p>
    <w:bookmarkEnd w:id="31"/>
    <w:bookmarkStart w:id="32" w:name="X96858478aec9ea6dbe6274c8999c7c43bf57cab"/>
    <w:p>
      <w:pPr>
        <w:pStyle w:val="Heading3"/>
      </w:pPr>
      <w:r>
        <w:t xml:space="preserve">3.3 Logistics Data (Upstream &amp; Downstream Transport)</w:t>
      </w:r>
    </w:p>
    <w:p>
      <w:pPr>
        <w:numPr>
          <w:ilvl w:val="0"/>
          <w:numId w:val="1008"/>
        </w:numPr>
        <w:pStyle w:val="Compact"/>
      </w:pPr>
      <w:r>
        <w:rPr>
          <w:bCs/>
          <w:b/>
        </w:rPr>
        <w:t xml:space="preserve">Transport Mode (Main Shipment):</w:t>
      </w:r>
      <w:r>
        <w:t xml:space="preserve"> </w:t>
      </w:r>
      <w:r>
        <w:t xml:space="preserve">Select Mode = Ocean Freight (China to Europe).</w:t>
      </w:r>
    </w:p>
    <w:p>
      <w:pPr>
        <w:numPr>
          <w:ilvl w:val="0"/>
          <w:numId w:val="1008"/>
        </w:numPr>
        <w:pStyle w:val="Compact"/>
      </w:pPr>
      <w:r>
        <w:rPr>
          <w:bCs/>
          <w:b/>
        </w:rPr>
        <w:t xml:space="preserve">Transport Distance (Ocean Freight):</w:t>
      </w:r>
      <w:r>
        <w:t xml:space="preserve"> </w:t>
      </w:r>
      <w:r>
        <w:t xml:space="preserve">gzilivjkvf = 15,000 km.</w:t>
      </w:r>
    </w:p>
    <w:p>
      <w:pPr>
        <w:numPr>
          <w:ilvl w:val="0"/>
          <w:numId w:val="1008"/>
        </w:numPr>
        <w:pStyle w:val="Compact"/>
      </w:pPr>
      <w:r>
        <w:rPr>
          <w:bCs/>
          <w:b/>
        </w:rPr>
        <w:t xml:space="preserve">Transport Mode (Regional/Last-Mile):</w:t>
      </w:r>
      <w:r>
        <w:t xml:space="preserve"> </w:t>
      </w:r>
      <w:r>
        <w:t xml:space="preserve">Truck (Heavy Goods Vehicle - HGV) for distribution to local hubs, followed by Parcel Post for last-mile delivery.</w:t>
      </w:r>
    </w:p>
    <w:p>
      <w:pPr>
        <w:numPr>
          <w:ilvl w:val="0"/>
          <w:numId w:val="1008"/>
        </w:numPr>
        <w:pStyle w:val="Compact"/>
      </w:pPr>
      <w:r>
        <w:rPr>
          <w:bCs/>
          <w:b/>
        </w:rPr>
        <w:t xml:space="preserve">Transport Distance (Truck):</w:t>
      </w:r>
      <w:r>
        <w:t xml:space="preserve"> </w:t>
      </w:r>
      <w:r>
        <w:t xml:space="preserve">500 km (illustrative for distribution within Europe).</w:t>
      </w:r>
    </w:p>
    <w:p>
      <w:pPr>
        <w:numPr>
          <w:ilvl w:val="0"/>
          <w:numId w:val="1008"/>
        </w:numPr>
        <w:pStyle w:val="Compact"/>
      </w:pPr>
      <w:r>
        <w:rPr>
          <w:bCs/>
          <w:b/>
        </w:rPr>
        <w:t xml:space="preserve">Last-Mile Delivery Channel:</w:t>
      </w:r>
      <w:r>
        <w:t xml:space="preserve"> </w:t>
      </w:r>
      <w:r>
        <w:t xml:space="preserve">Delivery Type = Parcel Post.</w:t>
      </w:r>
    </w:p>
    <w:p>
      <w:pPr>
        <w:pStyle w:val="FirstParagraph"/>
      </w:pPr>
      <w:r>
        <w:rPr>
          <w:iCs/>
          <w:i/>
        </w:rPr>
        <w:t xml:space="preserve">Illustrative Emission Factors: Ocean Freight: 0.015 kgCO₂e/tonne-km. Truck (HGV): 0.087 kgCO₂e/tonne-km. Parcel Post: Assumed 0.5 kgCO₂e/item (highly variable, estimated).</w:t>
      </w:r>
    </w:p>
    <w:bookmarkEnd w:id="32"/>
    <w:bookmarkStart w:id="33"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nqjjvzmepi = 7 years.</w:t>
      </w:r>
    </w:p>
    <w:p>
      <w:pPr>
        <w:numPr>
          <w:ilvl w:val="0"/>
          <w:numId w:val="1009"/>
        </w:numPr>
        <w:pStyle w:val="Compact"/>
      </w:pPr>
      <w:r>
        <w:rPr>
          <w:bCs/>
          <w:b/>
        </w:rPr>
        <w:t xml:space="preserve">Energy Consumption in Use:</w:t>
      </w:r>
      <w:r>
        <w:t xml:space="preserve"> </w:t>
      </w:r>
      <w:r>
        <w:t xml:space="preserve">lizngvsiko = 5 kWh/year.</w:t>
      </w:r>
    </w:p>
    <w:p>
      <w:pPr>
        <w:numPr>
          <w:ilvl w:val="0"/>
          <w:numId w:val="1009"/>
        </w:numPr>
        <w:pStyle w:val="Compact"/>
      </w:pPr>
      <w:r>
        <w:rPr>
          <w:bCs/>
          <w:b/>
        </w:rPr>
        <w:t xml:space="preserve">Electricity Grid Emission Factor (Europe focus, average):</w:t>
      </w:r>
      <w:r>
        <w:t xml:space="preserve"> </w:t>
      </w:r>
      <w:r>
        <w:t xml:space="preserve">An illustrative average of 0.25 kgCO₂e/kWh is assumed for electricity consumed during the product\'s use phase in Europe.</w:t>
      </w:r>
    </w:p>
    <w:bookmarkEnd w:id="33"/>
    <w:bookmarkStart w:id="34" w:name="end-of-life-eol-scenarios"/>
    <w:p>
      <w:pPr>
        <w:pStyle w:val="Heading3"/>
      </w:pPr>
      <w:r>
        <w:t xml:space="preserve">3.5 End-of-Life (EoL) Scenarios</w:t>
      </w:r>
    </w:p>
    <w:p>
      <w:pPr>
        <w:numPr>
          <w:ilvl w:val="0"/>
          <w:numId w:val="1010"/>
        </w:numPr>
        <w:pStyle w:val="Compact"/>
      </w:pPr>
      <w:r>
        <w:rPr>
          <w:bCs/>
          <w:b/>
        </w:rPr>
        <w:t xml:space="preserve">Recyclability Percentage:</w:t>
      </w:r>
      <w:r>
        <w:t xml:space="preserve"> </w:t>
      </w:r>
      <w:r>
        <w:t xml:space="preserve">iifhwpsuuo = 85%.</w:t>
      </w:r>
    </w:p>
    <w:p>
      <w:pPr>
        <w:numPr>
          <w:ilvl w:val="0"/>
          <w:numId w:val="1010"/>
        </w:numPr>
        <w:pStyle w:val="Compact"/>
      </w:pPr>
      <w:r>
        <w:rPr>
          <w:bCs/>
          <w:b/>
        </w:rPr>
        <w:t xml:space="preserve">Circular/Take-back Programs:</w:t>
      </w:r>
      <w:r>
        <w:t xml:space="preserve"> </w:t>
      </w:r>
      <w:r>
        <w:t xml:space="preserve">kedygyxlud = jkmmldopey is implementing a comprehensive take-back program in key European markets, encouraging customers to return end-of-life products for responsible recycling and material recovery.</w:t>
      </w:r>
    </w:p>
    <w:p>
      <w:pPr>
        <w:pStyle w:val="FirstParagraph"/>
      </w:pPr>
      <w:r>
        <w:rPr>
          <w:iCs/>
          <w:i/>
        </w:rPr>
        <w:t xml:space="preserve">Assumptions: Recycling credits will be applied for the 85% recyclable portion, representing avoided virgin material production. Remaining 15% is assumed to be disposed of (e.g., landfill).</w:t>
      </w:r>
    </w:p>
    <w:p>
      <w:r>
        <w:pict>
          <v:rect style="width:0;height:1.5pt" o:hralign="center" o:hrstd="t" o:hr="t"/>
        </w:pict>
      </w:r>
    </w:p>
    <w:bookmarkEnd w:id="34"/>
    <w:bookmarkEnd w:id="35"/>
    <w:bookmarkStart w:id="48" w:name="Xe156f3a774124d90821f5a9dd2a33dd50db36e7"/>
    <w:p>
      <w:pPr>
        <w:pStyle w:val="Heading2"/>
      </w:pPr>
      <w:r>
        <w:t xml:space="preserve">4. Calculate Emissions (Activity * Emission Factor = CO₂e)</w:t>
      </w:r>
    </w:p>
    <w:p>
      <w:pPr>
        <w:pStyle w:val="FirstParagraph"/>
      </w:pPr>
      <w:r>
        <w:t xml:space="preserve">Emissions are calculated per functional unit (1.0 unit of dhssoqogjd) across its lifecycle stages, categorized according to the GHG Protocol (Scope 1, Scope 2, Scope 3).</w:t>
      </w:r>
    </w:p>
    <w:bookmarkStart w:id="36" w:name="scope-1-emissions-direct-emissions"/>
    <w:p>
      <w:pPr>
        <w:pStyle w:val="Heading3"/>
      </w:pPr>
      <w:r>
        <w:t xml:space="preserve">4.1 Scope 1 Emissions (Direct Emissions)</w:t>
      </w:r>
    </w:p>
    <w:p>
      <w:pPr>
        <w:pStyle w:val="FirstParagraph"/>
      </w:pPr>
      <w:r>
        <w:t xml:space="preserve">For this product analysis, direct Scope 1 emissions primarily relate to any on-site fuel combustion for processes not covered by purchased electricity. Given the nature of a Smart Home Sensor and the provided parameters, specific on-site direct process emissions (e.g., from owned boilers/furnaces) are not detailed. Therefore, Scope 1 is considered negligible or embedded within upstream material production unless specific direct process emissions data is provided.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On-site Fuel Combustion / Direct Process Emissions</w:t>
            </w:r>
          </w:p>
        </w:tc>
        <w:tc>
          <w:tcPr/>
          <w:p>
            <w:pPr>
              <w:pStyle w:val="Compact"/>
              <w:jc w:val="left"/>
            </w:pPr>
            <w:r>
              <w:t xml:space="preserve">Not applicable / Assumed negligible for product manufacturing without specific data.</w:t>
            </w:r>
          </w:p>
        </w:tc>
        <w:tc>
          <w:tcPr/>
          <w:p>
            <w:pPr>
              <w:pStyle w:val="Compact"/>
              <w:jc w:val="left"/>
            </w:pPr>
            <w:r>
              <w:t xml:space="preserve">-</w:t>
            </w:r>
          </w:p>
        </w:tc>
        <w:tc>
          <w:tcPr/>
          <w:p>
            <w:pPr>
              <w:pStyle w:val="Compact"/>
              <w:jc w:val="left"/>
            </w:pPr>
            <w:r>
              <w:t xml:space="preserve">0.000</w:t>
            </w:r>
          </w:p>
        </w:tc>
        <w:tc>
          <w:tcPr/>
          <w:p>
            <w:pPr>
              <w:pStyle w:val="Compact"/>
              <w:jc w:val="left"/>
            </w:pPr>
            <w:r>
              <w:t xml:space="preserve">Scope 1</w:t>
            </w:r>
          </w:p>
        </w:tc>
      </w:tr>
    </w:tbl>
    <w:bookmarkEnd w:id="36"/>
    <w:bookmarkStart w:id="37" w:name="scope-2-emissions-purchased-electricity"/>
    <w:p>
      <w:pPr>
        <w:pStyle w:val="Heading3"/>
      </w:pPr>
      <w:r>
        <w:t xml:space="preserve">4.2 Scope 2 Emissions (Purchased Electricity)</w:t>
      </w:r>
    </w:p>
    <w:p>
      <w:pPr>
        <w:pStyle w:val="FirstParagraph"/>
      </w:pPr>
      <w:r>
        <w:t xml:space="preserve">These emissions arise from the electricity purchased for the manufacturing process of dhssoqogjd.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Adjusted Emission Factor (kgCO₂e/kWh)</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Manufacturing Energy Consumption</w:t>
            </w:r>
          </w:p>
        </w:tc>
        <w:tc>
          <w:tcPr/>
          <w:p>
            <w:pPr>
              <w:pStyle w:val="Compact"/>
              <w:jc w:val="left"/>
            </w:pPr>
            <w:r>
              <w:t xml:space="preserve">0.5 kWh/unit</w:t>
            </w:r>
          </w:p>
        </w:tc>
        <w:tc>
          <w:tcPr/>
          <w:p>
            <w:pPr>
              <w:pStyle w:val="Compact"/>
              <w:jc w:val="left"/>
            </w:pPr>
            <w:r>
              <w:t xml:space="preserve">0.28 (adjusted for 60% renewables in China)</w:t>
            </w:r>
          </w:p>
        </w:tc>
        <w:tc>
          <w:tcPr/>
          <w:p>
            <w:pPr>
              <w:pStyle w:val="Compact"/>
              <w:jc w:val="left"/>
            </w:pPr>
            <w:r>
              <w:t xml:space="preserve">0.140</w:t>
            </w:r>
          </w:p>
        </w:tc>
        <w:tc>
          <w:tcPr/>
          <w:p>
            <w:pPr>
              <w:pStyle w:val="Compact"/>
              <w:jc w:val="left"/>
            </w:pPr>
            <w:r>
              <w:t xml:space="preserve">Scope 2</w:t>
            </w:r>
          </w:p>
        </w:tc>
      </w:tr>
    </w:tbl>
    <w:bookmarkEnd w:id="37"/>
    <w:bookmarkStart w:id="45" w:name="scope-3-emissions-value-chain-emissions"/>
    <w:p>
      <w:pPr>
        <w:pStyle w:val="Heading3"/>
      </w:pPr>
      <w:r>
        <w:t xml:space="preserve">4.3 Scope 3 Emissions (Value Chain Emissions)</w:t>
      </w:r>
    </w:p>
    <w:p>
      <w:pPr>
        <w:pStyle w:val="FirstParagraph"/>
      </w:pPr>
      <w:r>
        <w:t xml:space="preserve">Scope 3 emissions constitute the majority of a product\'s carbon footprint, covering all indirect emissions in the value chain. This analysis ensures at least 95% coverage for Scope 3 reporting, aligning with 2026 requirements, and disaggregates data where feasible.</w:t>
      </w:r>
    </w:p>
    <w:bookmarkStart w:id="40" w:name="upstream-emissions-categories-1-8"/>
    <w:p>
      <w:pPr>
        <w:pStyle w:val="Heading4"/>
      </w:pPr>
      <w:r>
        <w:t xml:space="preserve">4.3.1 Upstream Emissions (Categories 1-8)</w:t>
      </w:r>
    </w:p>
    <w:bookmarkStart w:id="38" w:name="X56f81b443ebd89f3dffcc02b9be361636e6d140"/>
    <w:p>
      <w:pPr>
        <w:pStyle w:val="Heading5"/>
      </w:pPr>
      <w:r>
        <w:t xml:space="preserve">Material Acquisition &amp; Pre-processing (Category 1: Purchased Goods and Services)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(kgCO₂e/kg)</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Plastic Casing (ABS)</w:t>
            </w:r>
          </w:p>
        </w:tc>
        <w:tc>
          <w:tcPr/>
          <w:p>
            <w:pPr>
              <w:pStyle w:val="Compact"/>
              <w:jc w:val="left"/>
            </w:pPr>
            <w:r>
              <w:t xml:space="preserve">0.10</w:t>
            </w:r>
          </w:p>
        </w:tc>
        <w:tc>
          <w:tcPr/>
          <w:p>
            <w:pPr>
              <w:pStyle w:val="Compact"/>
              <w:jc w:val="left"/>
            </w:pPr>
            <w:r>
              <w:t xml:space="preserve">2.50</w:t>
            </w:r>
          </w:p>
        </w:tc>
        <w:tc>
          <w:tcPr/>
          <w:p>
            <w:pPr>
              <w:pStyle w:val="Compact"/>
              <w:jc w:val="left"/>
            </w:pPr>
            <w:r>
              <w:t xml:space="preserve">0.250</w:t>
            </w:r>
          </w:p>
        </w:tc>
        <w:tc>
          <w:tcPr/>
          <w:p>
            <w:pPr>
              <w:pStyle w:val="Compact"/>
              <w:jc w:val="left"/>
            </w:pPr>
            <w:r>
              <w:t xml:space="preserve">Scope 3</w:t>
            </w:r>
          </w:p>
        </w:tc>
      </w:tr>
      <w:tr>
        <w:tc>
          <w:tcPr/>
          <w:p>
            <w:pPr>
              <w:pStyle w:val="Compact"/>
              <w:jc w:val="left"/>
            </w:pPr>
            <w:r>
              <w:t xml:space="preserve">Printed Circuit Board (PCB)</w:t>
            </w:r>
          </w:p>
        </w:tc>
        <w:tc>
          <w:tcPr/>
          <w:p>
            <w:pPr>
              <w:pStyle w:val="Compact"/>
              <w:jc w:val="left"/>
            </w:pPr>
            <w:r>
              <w:t xml:space="preserve">0.02</w:t>
            </w:r>
          </w:p>
        </w:tc>
        <w:tc>
          <w:tcPr/>
          <w:p>
            <w:pPr>
              <w:pStyle w:val="Compact"/>
              <w:jc w:val="left"/>
            </w:pPr>
            <w:r>
              <w:t xml:space="preserve">20.00</w:t>
            </w:r>
          </w:p>
        </w:tc>
        <w:tc>
          <w:tcPr/>
          <w:p>
            <w:pPr>
              <w:pStyle w:val="Compact"/>
              <w:jc w:val="left"/>
            </w:pPr>
            <w:r>
              <w:t xml:space="preserve">0.400</w:t>
            </w:r>
          </w:p>
        </w:tc>
        <w:tc>
          <w:tcPr/>
          <w:p>
            <w:pPr>
              <w:pStyle w:val="Compact"/>
              <w:jc w:val="left"/>
            </w:pPr>
            <w:r>
              <w:t xml:space="preserve">Scope 3</w:t>
            </w:r>
          </w:p>
        </w:tc>
      </w:tr>
      <w:tr>
        <w:tc>
          <w:tcPr/>
          <w:p>
            <w:pPr>
              <w:pStyle w:val="Compact"/>
              <w:jc w:val="left"/>
            </w:pPr>
            <w:r>
              <w:t xml:space="preserve">Electronic Components</w:t>
            </w:r>
          </w:p>
        </w:tc>
        <w:tc>
          <w:tcPr/>
          <w:p>
            <w:pPr>
              <w:pStyle w:val="Compact"/>
              <w:jc w:val="left"/>
            </w:pPr>
            <w:r>
              <w:t xml:space="preserve">0.05</w:t>
            </w:r>
          </w:p>
        </w:tc>
        <w:tc>
          <w:tcPr/>
          <w:p>
            <w:pPr>
              <w:pStyle w:val="Compact"/>
              <w:jc w:val="left"/>
            </w:pPr>
            <w:r>
              <w:t xml:space="preserve">50.00</w:t>
            </w:r>
          </w:p>
        </w:tc>
        <w:tc>
          <w:tcPr/>
          <w:p>
            <w:pPr>
              <w:pStyle w:val="Compact"/>
              <w:jc w:val="left"/>
            </w:pPr>
            <w:r>
              <w:t xml:space="preserve">2.500</w:t>
            </w:r>
          </w:p>
        </w:tc>
        <w:tc>
          <w:tcPr/>
          <w:p>
            <w:pPr>
              <w:pStyle w:val="Compact"/>
              <w:jc w:val="left"/>
            </w:pPr>
            <w:r>
              <w:t xml:space="preserve">Scope 3</w:t>
            </w:r>
          </w:p>
        </w:tc>
      </w:tr>
      <w:tr>
        <w:tc>
          <w:tcPr/>
          <w:p>
            <w:pPr>
              <w:pStyle w:val="Compact"/>
              <w:jc w:val="left"/>
            </w:pPr>
            <w:r>
              <w:t xml:space="preserve">Recycled Cardboard Packaging</w:t>
            </w:r>
          </w:p>
        </w:tc>
        <w:tc>
          <w:tcPr/>
          <w:p>
            <w:pPr>
              <w:pStyle w:val="Compact"/>
              <w:jc w:val="left"/>
            </w:pPr>
            <w:r>
              <w:t xml:space="preserve">0.03</w:t>
            </w:r>
          </w:p>
        </w:tc>
        <w:tc>
          <w:tcPr/>
          <w:p>
            <w:pPr>
              <w:pStyle w:val="Compact"/>
              <w:jc w:val="left"/>
            </w:pPr>
            <w:r>
              <w:t xml:space="preserve">0.50</w:t>
            </w:r>
          </w:p>
        </w:tc>
        <w:tc>
          <w:tcPr/>
          <w:p>
            <w:pPr>
              <w:pStyle w:val="Compact"/>
              <w:jc w:val="left"/>
            </w:pPr>
            <w:r>
              <w:t xml:space="preserve">0.015</w:t>
            </w:r>
          </w:p>
        </w:tc>
        <w:tc>
          <w:tcPr/>
          <w:p>
            <w:pPr>
              <w:pStyle w:val="Compact"/>
              <w:jc w:val="left"/>
            </w:pPr>
            <w:r>
              <w:t xml:space="preserve">Scope 3</w:t>
            </w:r>
          </w:p>
        </w:tc>
      </w:tr>
      <w:tr>
        <w:tc>
          <w:tcPr>
            <w:gridSpan w:val="3"/>
          </w:tcPr>
          <w:p>
            <w:pPr>
              <w:pStyle w:val="Compact"/>
              <w:jc w:val="left"/>
            </w:pPr>
            <w:r>
              <w:t xml:space="preserve">Subtotal Material Emissions</w:t>
            </w:r>
          </w:p>
        </w:tc>
        <w:tc>
          <w:tcPr/>
          <w:p>
            <w:pPr>
              <w:pStyle w:val="Compact"/>
              <w:jc w:val="left"/>
            </w:pPr>
            <w:r>
              <w:t xml:space="preserve">3.165</w:t>
            </w:r>
          </w:p>
        </w:tc>
        <w:tc>
          <w:tcPr/>
          <w:p>
            <w:pPr>
              <w:pStyle w:val="Compact"/>
              <w:jc w:val="left"/>
            </w:pPr>
            <w:r>
              <w:t xml:space="preserve">Scope 3</w:t>
            </w:r>
          </w:p>
        </w:tc>
      </w:tr>
    </w:tbl>
    <w:bookmarkEnd w:id="38"/>
    <w:bookmarkStart w:id="39" w:name="X1ba14597aa58affb2f1bc7a69940c64f4addd9d"/>
    <w:p>
      <w:pPr>
        <w:pStyle w:val="Heading5"/>
      </w:pPr>
      <w:r>
        <w:t xml:space="preserve">Upstream Transportation and Distribution (Category 4)</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Weight (tonnes/unit)</w:t>
            </w:r>
          </w:p>
        </w:tc>
        <w:tc>
          <w:tcPr/>
          <w:p>
            <w:pPr>
              <w:pStyle w:val="Compact"/>
              <w:jc w:val="left"/>
            </w:pPr>
            <w:r>
              <w:t xml:space="preserve">Distance (km)</w:t>
            </w:r>
          </w:p>
        </w:tc>
        <w:tc>
          <w:tcPr/>
          <w:p>
            <w:pPr>
              <w:pStyle w:val="Compact"/>
              <w:jc w:val="left"/>
            </w:pPr>
            <w:r>
              <w:t xml:space="preserve">Emission Factor (kgCO₂e/tonne-km)</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Raw Material/Component Inbound (Global)</w:t>
            </w:r>
          </w:p>
        </w:tc>
        <w:tc>
          <w:tcPr/>
          <w:p>
            <w:pPr>
              <w:pStyle w:val="Compact"/>
              <w:jc w:val="left"/>
            </w:pPr>
            <w:r>
              <w:t xml:space="preserve">Ocean Freight</w:t>
            </w:r>
          </w:p>
        </w:tc>
        <w:tc>
          <w:tcPr/>
          <w:p>
            <w:pPr>
              <w:pStyle w:val="Compact"/>
              <w:jc w:val="left"/>
            </w:pPr>
            <w:r>
              <w:t xml:space="preserve">0.0002</w:t>
            </w:r>
          </w:p>
        </w:tc>
        <w:tc>
          <w:tcPr/>
          <w:p>
            <w:pPr>
              <w:pStyle w:val="Compact"/>
              <w:jc w:val="left"/>
            </w:pPr>
            <w:r>
              <w:t xml:space="preserve">15,000</w:t>
            </w:r>
          </w:p>
        </w:tc>
        <w:tc>
          <w:tcPr/>
          <w:p>
            <w:pPr>
              <w:pStyle w:val="Compact"/>
              <w:jc w:val="left"/>
            </w:pPr>
            <w:r>
              <w:t xml:space="preserve">0.015</w:t>
            </w:r>
          </w:p>
        </w:tc>
        <w:tc>
          <w:tcPr/>
          <w:p>
            <w:pPr>
              <w:pStyle w:val="Compact"/>
              <w:jc w:val="left"/>
            </w:pPr>
            <w:r>
              <w:t xml:space="preserve">0.045</w:t>
            </w:r>
          </w:p>
        </w:tc>
        <w:tc>
          <w:tcPr/>
          <w:p>
            <w:pPr>
              <w:pStyle w:val="Compact"/>
              <w:jc w:val="left"/>
            </w:pPr>
            <w:r>
              <w:t xml:space="preserve">Scope 3</w:t>
            </w:r>
          </w:p>
        </w:tc>
      </w:tr>
      <w:tr>
        <w:tc>
          <w:tcPr>
            <w:gridSpan w:val="5"/>
          </w:tcPr>
          <w:p>
            <w:pPr>
              <w:pStyle w:val="Compact"/>
              <w:jc w:val="left"/>
            </w:pPr>
            <w:r>
              <w:t xml:space="preserve">Subtotal Upstream Transportation Emissions</w:t>
            </w:r>
          </w:p>
        </w:tc>
        <w:tc>
          <w:tcPr/>
          <w:p>
            <w:pPr>
              <w:pStyle w:val="Compact"/>
              <w:jc w:val="left"/>
            </w:pPr>
            <w:r>
              <w:t xml:space="preserve">0.045</w:t>
            </w:r>
          </w:p>
        </w:tc>
        <w:tc>
          <w:tcPr/>
          <w:p>
            <w:pPr>
              <w:pStyle w:val="Compact"/>
              <w:jc w:val="left"/>
            </w:pPr>
            <w:r>
              <w:t xml:space="preserve">Scope 3</w:t>
            </w:r>
          </w:p>
        </w:tc>
      </w:tr>
    </w:tbl>
    <w:bookmarkEnd w:id="39"/>
    <w:bookmarkEnd w:id="40"/>
    <w:bookmarkStart w:id="44" w:name="downstream-emissions-categories-9-15"/>
    <w:p>
      <w:pPr>
        <w:pStyle w:val="Heading4"/>
      </w:pPr>
      <w:r>
        <w:t xml:space="preserve">4.3.2 Downstream Emissions (Categories 9-15)</w:t>
      </w:r>
    </w:p>
    <w:bookmarkStart w:id="41" w:name="X4a4e8e3b229fc696037344f6caf20042bf5cbd8"/>
    <w:p>
      <w:pPr>
        <w:pStyle w:val="Heading5"/>
      </w:pPr>
      <w:r>
        <w:t xml:space="preserve">Downstream Transportation and Distribution (Category 9)</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Weight (tonnes/unit) / Items</w:t>
            </w:r>
          </w:p>
        </w:tc>
        <w:tc>
          <w:tcPr/>
          <w:p>
            <w:pPr>
              <w:pStyle w:val="Compact"/>
              <w:jc w:val="left"/>
            </w:pPr>
            <w:r>
              <w:t xml:space="preserve">Distance (km) / Factor Type</w:t>
            </w:r>
          </w:p>
        </w:tc>
        <w:tc>
          <w:tcPr/>
          <w:p>
            <w:pPr>
              <w:pStyle w:val="Compact"/>
              <w:jc w:val="left"/>
            </w:pPr>
            <w:r>
              <w:t xml:space="preserve">Emission Factor (kgCO₂e/tonne-km or /item)</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Finished Product (Factory to EU DC)</w:t>
            </w:r>
          </w:p>
        </w:tc>
        <w:tc>
          <w:tcPr/>
          <w:p>
            <w:pPr>
              <w:pStyle w:val="Compact"/>
              <w:jc w:val="left"/>
            </w:pPr>
            <w:r>
              <w:t xml:space="preserve">Truck (HGV)</w:t>
            </w:r>
          </w:p>
        </w:tc>
        <w:tc>
          <w:tcPr/>
          <w:p>
            <w:pPr>
              <w:pStyle w:val="Compact"/>
              <w:jc w:val="left"/>
            </w:pPr>
            <w:r>
              <w:t xml:space="preserve">0.0002</w:t>
            </w:r>
          </w:p>
        </w:tc>
        <w:tc>
          <w:tcPr/>
          <w:p>
            <w:pPr>
              <w:pStyle w:val="Compact"/>
              <w:jc w:val="left"/>
            </w:pPr>
            <w:r>
              <w:t xml:space="preserve">500</w:t>
            </w:r>
          </w:p>
        </w:tc>
        <w:tc>
          <w:tcPr/>
          <w:p>
            <w:pPr>
              <w:pStyle w:val="Compact"/>
              <w:jc w:val="left"/>
            </w:pPr>
            <w:r>
              <w:t xml:space="preserve">0.087</w:t>
            </w:r>
          </w:p>
        </w:tc>
        <w:tc>
          <w:tcPr/>
          <w:p>
            <w:pPr>
              <w:pStyle w:val="Compact"/>
              <w:jc w:val="left"/>
            </w:pPr>
            <w:r>
              <w:t xml:space="preserve">0.0087</w:t>
            </w:r>
          </w:p>
        </w:tc>
        <w:tc>
          <w:tcPr/>
          <w:p>
            <w:pPr>
              <w:pStyle w:val="Compact"/>
              <w:jc w:val="left"/>
            </w:pPr>
            <w:r>
              <w:t xml:space="preserve">Scope 3</w:t>
            </w:r>
          </w:p>
        </w:tc>
      </w:tr>
      <w:tr>
        <w:tc>
          <w:tcPr/>
          <w:p>
            <w:pPr>
              <w:pStyle w:val="Compact"/>
              <w:jc w:val="left"/>
            </w:pPr>
            <w:r>
              <w:t xml:space="preserve">Last-Mile Delivery</w:t>
            </w:r>
          </w:p>
        </w:tc>
        <w:tc>
          <w:tcPr/>
          <w:p>
            <w:pPr>
              <w:pStyle w:val="Compact"/>
              <w:jc w:val="left"/>
            </w:pPr>
            <w:r>
              <w:t xml:space="preserve">Parcel Post</w:t>
            </w:r>
          </w:p>
        </w:tc>
        <w:tc>
          <w:tcPr/>
          <w:p>
            <w:pPr>
              <w:pStyle w:val="Compact"/>
              <w:jc w:val="left"/>
            </w:pPr>
            <w:r>
              <w:t xml:space="preserve">1 item</w:t>
            </w:r>
          </w:p>
        </w:tc>
        <w:tc>
          <w:tcPr/>
          <w:p>
            <w:pPr>
              <w:pStyle w:val="Compact"/>
              <w:jc w:val="left"/>
            </w:pPr>
            <w:r>
              <w:t xml:space="preserve">N/A (per item factor)</w:t>
            </w:r>
          </w:p>
        </w:tc>
        <w:tc>
          <w:tcPr/>
          <w:p>
            <w:pPr>
              <w:pStyle w:val="Compact"/>
              <w:jc w:val="left"/>
            </w:pPr>
            <w:r>
              <w:t xml:space="preserve">0.500</w:t>
            </w:r>
          </w:p>
        </w:tc>
        <w:tc>
          <w:tcPr/>
          <w:p>
            <w:pPr>
              <w:pStyle w:val="Compact"/>
              <w:jc w:val="left"/>
            </w:pPr>
            <w:r>
              <w:t xml:space="preserve">0.500</w:t>
            </w:r>
          </w:p>
        </w:tc>
        <w:tc>
          <w:tcPr/>
          <w:p>
            <w:pPr>
              <w:pStyle w:val="Compact"/>
              <w:jc w:val="left"/>
            </w:pPr>
            <w:r>
              <w:t xml:space="preserve">Scope 3</w:t>
            </w:r>
          </w:p>
        </w:tc>
      </w:tr>
      <w:tr>
        <w:tc>
          <w:tcPr>
            <w:gridSpan w:val="5"/>
          </w:tcPr>
          <w:p>
            <w:pPr>
              <w:pStyle w:val="Compact"/>
              <w:jc w:val="left"/>
            </w:pPr>
            <w:r>
              <w:t xml:space="preserve">Subtotal Downstream Transportation Emissions</w:t>
            </w:r>
          </w:p>
        </w:tc>
        <w:tc>
          <w:tcPr/>
          <w:p>
            <w:pPr>
              <w:pStyle w:val="Compact"/>
              <w:jc w:val="left"/>
            </w:pPr>
            <w:r>
              <w:t xml:space="preserve">0.5087</w:t>
            </w:r>
          </w:p>
        </w:tc>
        <w:tc>
          <w:tcPr/>
          <w:p>
            <w:pPr>
              <w:pStyle w:val="Compact"/>
              <w:jc w:val="left"/>
            </w:pPr>
            <w:r>
              <w:t xml:space="preserve">Scope 3</w:t>
            </w:r>
          </w:p>
        </w:tc>
      </w:tr>
    </w:tbl>
    <w:bookmarkEnd w:id="41"/>
    <w:bookmarkStart w:id="42" w:name="use-of-sold-products-category-11"/>
    <w:p>
      <w:pPr>
        <w:pStyle w:val="Heading5"/>
      </w:pPr>
      <w:r>
        <w:t xml:space="preserve">Use of Sold Products (Category 11)</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Lifespan (years)</w:t>
            </w:r>
          </w:p>
        </w:tc>
        <w:tc>
          <w:tcPr/>
          <w:p>
            <w:pPr>
              <w:pStyle w:val="Compact"/>
              <w:jc w:val="left"/>
            </w:pPr>
            <w:r>
              <w:t xml:space="preserve">Energy Consumed (kWh/year)</w:t>
            </w:r>
          </w:p>
        </w:tc>
        <w:tc>
          <w:tcPr/>
          <w:p>
            <w:pPr>
              <w:pStyle w:val="Compact"/>
              <w:jc w:val="left"/>
            </w:pPr>
            <w:r>
              <w:t xml:space="preserve">Emission Factor (kgCO₂e/kWh)</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Electricity Consumption during Use</w:t>
            </w:r>
          </w:p>
        </w:tc>
        <w:tc>
          <w:tcPr/>
          <w:p>
            <w:pPr>
              <w:pStyle w:val="Compact"/>
              <w:jc w:val="left"/>
            </w:pPr>
            <w:r>
              <w:t xml:space="preserve">1.0 unit</w:t>
            </w:r>
          </w:p>
        </w:tc>
        <w:tc>
          <w:tcPr/>
          <w:p>
            <w:pPr>
              <w:pStyle w:val="Compact"/>
              <w:jc w:val="left"/>
            </w:pPr>
            <w:r>
              <w:t xml:space="preserve">7</w:t>
            </w:r>
          </w:p>
        </w:tc>
        <w:tc>
          <w:tcPr/>
          <w:p>
            <w:pPr>
              <w:pStyle w:val="Compact"/>
              <w:jc w:val="left"/>
            </w:pPr>
            <w:r>
              <w:t xml:space="preserve">5</w:t>
            </w:r>
          </w:p>
        </w:tc>
        <w:tc>
          <w:tcPr/>
          <w:p>
            <w:pPr>
              <w:pStyle w:val="Compact"/>
              <w:jc w:val="left"/>
            </w:pPr>
            <w:r>
              <w:t xml:space="preserve">0.25 (Europe average)</w:t>
            </w:r>
          </w:p>
        </w:tc>
        <w:tc>
          <w:tcPr/>
          <w:p>
            <w:pPr>
              <w:pStyle w:val="Compact"/>
              <w:jc w:val="left"/>
            </w:pPr>
            <w:r>
              <w:t xml:space="preserve">8.750</w:t>
            </w:r>
          </w:p>
        </w:tc>
        <w:tc>
          <w:tcPr/>
          <w:p>
            <w:pPr>
              <w:pStyle w:val="Compact"/>
              <w:jc w:val="left"/>
            </w:pPr>
            <w:r>
              <w:t xml:space="preserve">Scope 3</w:t>
            </w:r>
          </w:p>
        </w:tc>
      </w:tr>
      <w:tr>
        <w:tc>
          <w:tcPr>
            <w:gridSpan w:val="5"/>
          </w:tcPr>
          <w:p>
            <w:pPr>
              <w:pStyle w:val="Compact"/>
              <w:jc w:val="left"/>
            </w:pPr>
            <w:r>
              <w:t xml:space="preserve">Subtotal Use Phase Emissions</w:t>
            </w:r>
          </w:p>
        </w:tc>
        <w:tc>
          <w:tcPr/>
          <w:p>
            <w:pPr>
              <w:pStyle w:val="Compact"/>
              <w:jc w:val="left"/>
            </w:pPr>
            <w:r>
              <w:t xml:space="preserve">8.750</w:t>
            </w:r>
          </w:p>
        </w:tc>
        <w:tc>
          <w:tcPr/>
          <w:p>
            <w:pPr>
              <w:pStyle w:val="Compact"/>
              <w:jc w:val="left"/>
            </w:pPr>
            <w:r>
              <w:t xml:space="preserve">Scope 3</w:t>
            </w:r>
          </w:p>
        </w:tc>
      </w:tr>
    </w:tbl>
    <w:bookmarkEnd w:id="42"/>
    <w:bookmarkStart w:id="43" w:name="X7eecd0528a4129578e12f0f82acdf78ed4201e7"/>
    <w:p>
      <w:pPr>
        <w:pStyle w:val="Heading5"/>
      </w:pPr>
      <w:r>
        <w:t xml:space="preserve">End-of-Life Treatment of Sold Products (Category 12)</w:t>
      </w:r>
    </w:p>
    <w:p>
      <w:pPr>
        <w:pStyle w:val="FirstParagraph"/>
      </w:pPr>
      <w:r>
        <w:t xml:space="preserve">The product dhssoqogjd has an 85% recyclability percentage, with circular/take-back programs in place. This translates to avoided emissions from virgin material production for the recycled portion, resulting in a net credit.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Assumptions</w:t>
            </w:r>
          </w:p>
        </w:tc>
        <w:tc>
          <w:tcPr/>
          <w:p>
            <w:pPr>
              <w:pStyle w:val="Compact"/>
              <w:jc w:val="left"/>
            </w:pPr>
            <w:r>
              <w:t xml:space="preserve">Calculation Details</w:t>
            </w:r>
          </w:p>
        </w:tc>
        <w:tc>
          <w:tcPr/>
          <w:p>
            <w:pPr>
              <w:pStyle w:val="Compact"/>
              <w:jc w:val="left"/>
            </w:pPr>
            <w:r>
              <w:t xml:space="preserve">CO₂e (kg)</w:t>
            </w:r>
          </w:p>
        </w:tc>
        <w:tc>
          <w:tcPr/>
          <w:p>
            <w:pPr>
              <w:pStyle w:val="Compact"/>
              <w:jc w:val="left"/>
            </w:pPr>
            <w:r>
              <w:t xml:space="preserve">GHG Scope</w:t>
            </w:r>
          </w:p>
        </w:tc>
      </w:tr>
      <w:tr>
        <w:tc>
          <w:tcPr/>
          <w:p>
            <w:pPr>
              <w:pStyle w:val="Compact"/>
              <w:jc w:val="left"/>
            </w:pPr>
            <w:r>
              <w:t xml:space="preserve">Recycling Credit (85%)</w:t>
            </w:r>
          </w:p>
        </w:tc>
        <w:tc>
          <w:tcPr/>
          <w:p>
            <w:pPr>
              <w:pStyle w:val="Compact"/>
              <w:jc w:val="left"/>
            </w:pPr>
            <w:r>
              <w:t xml:space="preserve">Avoided virgin material production</w:t>
            </w:r>
          </w:p>
        </w:tc>
        <w:tc>
          <w:tcPr/>
          <w:p>
            <w:pPr>
              <w:pStyle w:val="Compact"/>
              <w:jc w:val="left"/>
            </w:pPr>
            <w:r>
              <w:t xml:space="preserve">85% of Total Material Emissions (3.165 kgCO₂e) avoided</w:t>
            </w:r>
          </w:p>
        </w:tc>
        <w:tc>
          <w:tcPr/>
          <w:p>
            <w:pPr>
              <w:pStyle w:val="Compact"/>
              <w:jc w:val="left"/>
            </w:pPr>
            <w:r>
              <w:t xml:space="preserve">-2.690</w:t>
            </w:r>
          </w:p>
        </w:tc>
        <w:tc>
          <w:tcPr/>
          <w:p>
            <w:pPr>
              <w:pStyle w:val="Compact"/>
              <w:jc w:val="left"/>
            </w:pPr>
            <w:r>
              <w:t xml:space="preserve">Scope 3</w:t>
            </w:r>
          </w:p>
        </w:tc>
      </w:tr>
      <w:tr>
        <w:tc>
          <w:tcPr/>
          <w:p>
            <w:pPr>
              <w:pStyle w:val="Compact"/>
              <w:jc w:val="left"/>
            </w:pPr>
            <w:r>
              <w:t xml:space="preserve">Disposal Emissions (15%)</w:t>
            </w:r>
          </w:p>
        </w:tc>
        <w:tc>
          <w:tcPr/>
          <w:p>
            <w:pPr>
              <w:pStyle w:val="Compact"/>
              <w:jc w:val="left"/>
            </w:pPr>
            <w:r>
              <w:t xml:space="preserve">15% of product (0.03 kg) to landfill; EF for mixed waste: 0.2 kgCO₂e/kg</w:t>
            </w:r>
          </w:p>
        </w:tc>
        <w:tc>
          <w:tcPr/>
          <w:p>
            <w:pPr>
              <w:pStyle w:val="Compact"/>
              <w:jc w:val="left"/>
            </w:pPr>
            <w:r>
              <w:t xml:space="preserve">0.03 kg * 0.2 kgCO₂e/kg</w:t>
            </w:r>
          </w:p>
        </w:tc>
        <w:tc>
          <w:tcPr/>
          <w:p>
            <w:pPr>
              <w:pStyle w:val="Compact"/>
              <w:jc w:val="left"/>
            </w:pPr>
            <w:r>
              <w:t xml:space="preserve">0.006</w:t>
            </w:r>
          </w:p>
        </w:tc>
        <w:tc>
          <w:tcPr/>
          <w:p>
            <w:pPr>
              <w:pStyle w:val="Compact"/>
              <w:jc w:val="left"/>
            </w:pPr>
            <w:r>
              <w:t xml:space="preserve">Scope 3</w:t>
            </w:r>
          </w:p>
        </w:tc>
      </w:tr>
      <w:tr>
        <w:tc>
          <w:tcPr>
            <w:gridSpan w:val="3"/>
          </w:tcPr>
          <w:p>
            <w:pPr>
              <w:pStyle w:val="Compact"/>
              <w:jc w:val="left"/>
            </w:pPr>
            <w:r>
              <w:t xml:space="preserve">Subtotal End-of-Life Emissions / Credit</w:t>
            </w:r>
          </w:p>
        </w:tc>
        <w:tc>
          <w:tcPr/>
          <w:p>
            <w:pPr>
              <w:pStyle w:val="Compact"/>
              <w:jc w:val="left"/>
            </w:pPr>
            <w:r>
              <w:t xml:space="preserve">-2.684</w:t>
            </w:r>
          </w:p>
        </w:tc>
        <w:tc>
          <w:tcPr/>
          <w:p>
            <w:pPr>
              <w:pStyle w:val="Compact"/>
              <w:jc w:val="left"/>
            </w:pPr>
            <w:r>
              <w:t xml:space="preserve">Scope 3</w:t>
            </w:r>
          </w:p>
        </w:tc>
      </w:tr>
    </w:tbl>
    <w:bookmarkEnd w:id="43"/>
    <w:bookmarkEnd w:id="44"/>
    <w:bookmarkEnd w:id="45"/>
    <w:bookmarkStart w:id="46"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CO₂e (kg/unit)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0.140</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3.165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0.045</w:t>
            </w:r>
          </w:p>
        </w:tc>
      </w:tr>
      <w:tr>
        <w:tc>
          <w:tcPr>
            <w:gridSpan w:val="1"/>
            <w:vMerge w:val="continue"/>
          </w:tcPr>
          <w:p>
            <w:pPr/>
          </w:p>
        </w:tc>
        <w:tc>
          <w:tcPr/>
          <w:p>
            <w:pPr>
              <w:pStyle w:val="Compact"/>
              <w:jc w:val="left"/>
            </w:pPr>
            <w:r>
              <w:t xml:space="preserve">Downstream Transportation &amp; Last-Mile</w:t>
            </w:r>
          </w:p>
        </w:tc>
        <w:tc>
          <w:tcPr/>
          <w:p>
            <w:pPr>
              <w:pStyle w:val="Compact"/>
              <w:jc w:val="left"/>
            </w:pPr>
            <w:r>
              <w:t xml:space="preserve">0.509</w:t>
            </w:r>
          </w:p>
        </w:tc>
      </w:tr>
      <w:tr>
        <w:tc>
          <w:tcPr>
            <w:gridSpan w:val="1"/>
            <w:vMerge w:val="continue"/>
          </w:tcPr>
          <w:p>
            <w:pPr/>
          </w:p>
        </w:tc>
        <w:tc>
          <w:tcPr/>
          <w:p>
            <w:pPr>
              <w:pStyle w:val="Compact"/>
              <w:jc w:val="left"/>
            </w:pPr>
            <w:r>
              <w:t xml:space="preserve">Use of Sold Products</w:t>
            </w:r>
          </w:p>
        </w:tc>
        <w:tc>
          <w:tcPr/>
          <w:p>
            <w:pPr>
              <w:pStyle w:val="Compact"/>
              <w:jc w:val="left"/>
            </w:pPr>
            <w:r>
              <w:t xml:space="preserve">8.750</w:t>
            </w:r>
          </w:p>
        </w:tc>
      </w:tr>
      <w:tr>
        <w:tc>
          <w:tcPr/>
          <w:p>
            <w:pPr>
              <w:pStyle w:val="Compact"/>
              <w:jc w:val="left"/>
            </w:pPr>
            <w:r>
              <w:t xml:space="preserve">Scope 3</w:t>
            </w:r>
          </w:p>
        </w:tc>
        <w:tc>
          <w:tcPr/>
          <w:p>
            <w:pPr>
              <w:pStyle w:val="Compact"/>
              <w:jc w:val="left"/>
            </w:pPr>
            <w:r>
              <w:t xml:space="preserve">End-of-Life Treatment (Net)</w:t>
            </w:r>
          </w:p>
        </w:tc>
        <w:tc>
          <w:tcPr/>
          <w:p>
            <w:pPr>
              <w:pStyle w:val="Compact"/>
              <w:jc w:val="left"/>
            </w:pPr>
            <w:r>
              <w:t xml:space="preserve">-2.684</w:t>
            </w:r>
          </w:p>
        </w:tc>
      </w:tr>
      <w:tr>
        <w:tc>
          <w:tcPr>
            <w:gridSpan w:val="2"/>
          </w:tcPr>
          <w:p>
            <w:pPr>
              <w:pStyle w:val="Compact"/>
              <w:jc w:val="left"/>
            </w:pPr>
            <w:r>
              <w:t xml:space="preserve">TOTAL PRODUCT CARBON FOOTPRINT (kgCO₂e/unit)</w:t>
            </w:r>
          </w:p>
        </w:tc>
        <w:tc>
          <w:tcPr/>
          <w:p>
            <w:pPr>
              <w:pStyle w:val="Compact"/>
              <w:jc w:val="left"/>
            </w:pPr>
            <w:r>
              <w:t xml:space="preserve">9.925</w:t>
            </w:r>
          </w:p>
        </w:tc>
      </w:tr>
    </w:tbl>
    <w:p>
      <w:pPr>
        <w:pStyle w:val="BodyText"/>
      </w:pPr>
      <w:r>
        <w:rPr>
          <w:iCs/>
          <w:i/>
        </w:rPr>
        <w:t xml:space="preserve">Note: Values may slightly vary due to rounding in intermediate calculations.</w:t>
      </w:r>
    </w:p>
    <w:bookmarkEnd w:id="46"/>
    <w:bookmarkStart w:id="47" w:name="X70f835b837f1aa1c51e58d34f7e1362f80d3b36"/>
    <w:p>
      <w:pPr>
        <w:pStyle w:val="Heading3"/>
      </w:pPr>
      <w:r>
        <w:t xml:space="preserve">4.5 2026 Land Sector and Removals (LSR) Standard Update Application</w:t>
      </w:r>
    </w:p>
    <w:p>
      <w:pPr>
        <w:pStyle w:val="FirstParagraph"/>
      </w:pPr>
      <w:r>
        <w:t xml:space="preserve">The GHG Protocol\'s Land Sector and Removals (LSR) Standard, released in January 2026 and effective January 1, 2027, provides accounting requirements and guidance for land emissions, CO₂ removals, and other key metrics. While the dhssoqogjd Smart Home Sensor itself does not have direct land-sector activities, its upstream supply chain (e.g., raw material extraction for plastics and metals) may involve land-use changes or agricultural inputs. jkmmldopey will integrate the LSR Standard requirements into its broader Scope 3 assessment for relevant categories as the standard becomes mandatory, particularly for categories with significant biogenic emissions or removals. The accompanying guidance for the LSR Standard is expected in Q2 2026, which will further support implementation.</w:t>
      </w:r>
    </w:p>
    <w:p>
      <w:r>
        <w:pict>
          <v:rect style="width:0;height:1.5pt" o:hralign="center" o:hrstd="t" o:hr="t"/>
        </w:pict>
      </w:r>
    </w:p>
    <w:bookmarkEnd w:id="47"/>
    <w:bookmarkEnd w:id="48"/>
    <w:bookmarkStart w:id="52" w:name="review-report"/>
    <w:p>
      <w:pPr>
        <w:pStyle w:val="Heading2"/>
      </w:pPr>
      <w:r>
        <w:t xml:space="preserve">5. Review &amp; Report</w:t>
      </w:r>
    </w:p>
    <w:bookmarkStart w:id="49" w:name="emission-hotspots-and-reliability"/>
    <w:p>
      <w:pPr>
        <w:pStyle w:val="Heading3"/>
      </w:pPr>
      <w:r>
        <w:t xml:space="preserve">5.1 Emission Hotspots and Reliability</w:t>
      </w:r>
    </w:p>
    <w:p>
      <w:pPr>
        <w:pStyle w:val="FirstParagraph"/>
      </w:pPr>
      <w:r>
        <w:t xml:space="preserve">The PCF analysis for dhssoqogjd reveals the following primary emission hotspots:</w:t>
      </w:r>
    </w:p>
    <w:p>
      <w:pPr>
        <w:numPr>
          <w:ilvl w:val="0"/>
          <w:numId w:val="1011"/>
        </w:numPr>
        <w:pStyle w:val="Compact"/>
      </w:pPr>
      <w:r>
        <w:rPr>
          <w:bCs/>
          <w:b/>
        </w:rPr>
        <w:t xml:space="preserve">Use Phase (8.750 kgCO₂e):</w:t>
      </w:r>
      <w:r>
        <w:t xml:space="preserve"> </w:t>
      </w:r>
      <w:r>
        <w:t xml:space="preserve">This is the most significant contributor, primarily due to the electricity consumption over the product\'s 7-year lifespan. This highlights the importance of energy efficiency during product operation and the carbon intensity of the electricity grid where the product is used.</w:t>
      </w:r>
    </w:p>
    <w:p>
      <w:pPr>
        <w:numPr>
          <w:ilvl w:val="0"/>
          <w:numId w:val="1011"/>
        </w:numPr>
        <w:pStyle w:val="Compact"/>
      </w:pPr>
      <w:r>
        <w:rPr>
          <w:bCs/>
          <w:b/>
        </w:rPr>
        <w:t xml:space="preserve">Material Acquisition &amp; Pre-processing (3.165 kgCO₂e):</w:t>
      </w:r>
      <w:r>
        <w:t xml:space="preserve"> </w:t>
      </w:r>
      <w:r>
        <w:t xml:space="preserve">The production of electronic components and the PCB contributes substantially to the upstream footprint, reflecting the energy-intensive manufacturing processes and complex supply chains for these materials.</w:t>
      </w:r>
    </w:p>
    <w:p>
      <w:pPr>
        <w:numPr>
          <w:ilvl w:val="0"/>
          <w:numId w:val="1011"/>
        </w:numPr>
        <w:pStyle w:val="Compact"/>
      </w:pPr>
      <w:r>
        <w:rPr>
          <w:bCs/>
          <w:b/>
        </w:rPr>
        <w:t xml:space="preserve">Downstream Transportation &amp; Last-Mile Delivery (0.509 kgCO₂e):</w:t>
      </w:r>
      <w:r>
        <w:t xml:space="preserve"> </w:t>
      </w:r>
      <w:r>
        <w:t xml:space="preserve">While smaller than the use phase, last-mile delivery via parcel post shows a notable impact per unit, indicating an area for optimized logistics and greener last-mile solutions.</w:t>
      </w:r>
    </w:p>
    <w:p>
      <w:pPr>
        <w:numPr>
          <w:ilvl w:val="0"/>
          <w:numId w:val="1011"/>
        </w:numPr>
        <w:pStyle w:val="Compact"/>
      </w:pPr>
      <w:r>
        <w:rPr>
          <w:bCs/>
          <w:b/>
        </w:rPr>
        <w:t xml:space="preserve">End-of-Life (Net Credit of -2.684 kgCO₂e):</w:t>
      </w:r>
      <w:r>
        <w:t xml:space="preserve"> </w:t>
      </w:r>
      <w:r>
        <w:t xml:space="preserve">The high recyclability percentage and the existence of take-back programs result in a significant net credit, showcasing the positive impact of circular economy initiatives.</w:t>
      </w:r>
    </w:p>
    <w:p>
      <w:pPr>
        <w:pStyle w:val="FirstParagraph"/>
      </w:pPr>
      <w:r>
        <w:t xml:space="preserve">The reliability of this report is based on the adherence to GHG Protocol methodology and the use of industry-standard emission factors. While specific primary data for all elements was not provided (e.g., supplier-specific emission factors for all BOM items, precise last-mile delivery EFs), illustrative data based on typical industry averages (e.g., Ecoinvent/DEFRA equivalents) has been applied. Future improvements can involve collecting more primary data from suppliers and logistics partners.</w:t>
      </w:r>
    </w:p>
    <w:bookmarkEnd w:id="49"/>
    <w:bookmarkStart w:id="50" w:name="recommendations-for-emissions-reduction"/>
    <w:p>
      <w:pPr>
        <w:pStyle w:val="Heading3"/>
      </w:pPr>
      <w:r>
        <w:t xml:space="preserve">5.2 Recommendations for Emissions Reduction</w:t>
      </w:r>
    </w:p>
    <w:p>
      <w:pPr>
        <w:numPr>
          <w:ilvl w:val="0"/>
          <w:numId w:val="1012"/>
        </w:numPr>
        <w:pStyle w:val="Compact"/>
      </w:pPr>
      <w:r>
        <w:rPr>
          <w:bCs/>
          <w:b/>
        </w:rPr>
        <w:t xml:space="preserve">Optimize Use Phase Energy Efficiency:</w:t>
      </w:r>
      <w:r>
        <w:t xml:space="preserve"> </w:t>
      </w:r>
      <w:r>
        <w:t xml:space="preserve">Focus on designing next-generation products with even lower power consumption during operation. Explore integration with smart grids or renewable energy sources to further reduce the use phase impact.</w:t>
      </w:r>
    </w:p>
    <w:p>
      <w:pPr>
        <w:numPr>
          <w:ilvl w:val="0"/>
          <w:numId w:val="1012"/>
        </w:numPr>
        <w:pStyle w:val="Compact"/>
      </w:pPr>
      <w:r>
        <w:rPr>
          <w:bCs/>
          <w:b/>
        </w:rPr>
        <w:t xml:space="preserve">Supply Chain Engagement for Materials:</w:t>
      </w:r>
      <w:r>
        <w:t xml:space="preserve"> </w:t>
      </w:r>
      <w:r>
        <w:t xml:space="preserve">Collaborate with suppliers of electronic components and PCBs to identify and implement lower-carbon manufacturing processes or source materials from suppliers using renewable energy.</w:t>
      </w:r>
    </w:p>
    <w:p>
      <w:pPr>
        <w:numPr>
          <w:ilvl w:val="0"/>
          <w:numId w:val="1012"/>
        </w:numPr>
        <w:pStyle w:val="Compact"/>
      </w:pPr>
      <w:r>
        <w:rPr>
          <w:bCs/>
          <w:b/>
        </w:rPr>
        <w:t xml:space="preserve">Green Logistics for Downstream:</w:t>
      </w:r>
      <w:r>
        <w:t xml:space="preserve"> </w:t>
      </w:r>
      <w:r>
        <w:t xml:space="preserve">Invest in or partner with logistics providers offering electric vehicle fleets for last-mile delivery, or explore consolidated shipping options to reduce the impact of downstream transportation.</w:t>
      </w:r>
    </w:p>
    <w:p>
      <w:pPr>
        <w:numPr>
          <w:ilvl w:val="0"/>
          <w:numId w:val="1012"/>
        </w:numPr>
        <w:pStyle w:val="Compact"/>
      </w:pPr>
      <w:r>
        <w:rPr>
          <w:bCs/>
          <w:b/>
        </w:rPr>
        <w:t xml:space="preserve">Enhance Circularity:</w:t>
      </w:r>
      <w:r>
        <w:t xml:space="preserve"> </w:t>
      </w:r>
      <w:r>
        <w:t xml:space="preserve">Continue to promote and expand take-back programs and investigate opportunities to increase the recyclability percentage even further, or incorporate more recycled content in product manufacturing.</w:t>
      </w:r>
    </w:p>
    <w:bookmarkEnd w:id="50"/>
    <w:bookmarkStart w:id="51" w:name="scope-3-compliance-2026-requirements"/>
    <w:p>
      <w:pPr>
        <w:pStyle w:val="Heading3"/>
      </w:pPr>
      <w:r>
        <w:t xml:space="preserve">5.3 Scope 3 Compliance (2026 Requirements)</w:t>
      </w:r>
    </w:p>
    <w:p>
      <w:pPr>
        <w:pStyle w:val="FirstParagraph"/>
      </w:pPr>
      <w:r>
        <w:t xml:space="preserve">jkmmldopey is committed to achieving at least 95% coverage for its Scope 3 reporting, in line with the GHG Protocol\'s 2026 requirements. This report demonstrates comprehensive coverage across relevant Scope 3 categories (Purchased Goods and Services, Transportation, Use of Sold Products, End-of-Life Treatment). Future efforts will focus on mandatory data disaggregation by source type (primary vs. secondary data) to enhance data quality and transparency, as outlined in the GHG Protocol\'s Phase 1 Progress Update released in March 2026.</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dhssoqogjd</dc:title>
  <dc:creator/>
  <dc:description>High-detail Product Carbon Footprint (PCF) analysis for dhssoqogjd, performed by Senior Sustainability Consultant zihoedxhyu for jkmmldopey, adhering to GHG Protocol and 2026 updates.</dc:description>
  <dc:language>en</dc:language>
  <cp:keywords/>
  <dcterms:created xsi:type="dcterms:W3CDTF">2026-07-15T09:28:34Z</dcterms:created>
  <dcterms:modified xsi:type="dcterms:W3CDTF">2026-07-15T09:28:34Z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