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dfztlwpydo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dfztlwpydo</w:t>
      </w:r>
    </w:p>
    <w:p>
      <w:pPr>
        <w:pStyle w:val="BodyText"/>
      </w:pPr>
      <w:r>
        <w:rPr>
          <w:bCs/>
          <w:b/>
        </w:rPr>
        <w:t xml:space="preserve">Company Name:</w:t>
      </w:r>
      <w:r>
        <w:t xml:space="preserve"> </w:t>
      </w:r>
      <w:r>
        <w:t xml:space="preserve">pmqzezxnff</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wtvxxyvepy</w:t>
      </w:r>
    </w:p>
    <w:p>
      <w:pPr>
        <w:pStyle w:val="BodyText"/>
      </w:pPr>
      <w:r>
        <w:t xml:space="preserve">This report is generated based on available data and industry standards, providing an estimate of the product\'s carbon footprint. Actual emissions may vary depending on real-world conditions and specific data inputs.</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dfztlwpydo</w:t>
      </w:r>
    </w:p>
    <w:p>
      <w:pPr>
        <w:pStyle w:val="BodyText"/>
      </w:pPr>
      <w:r>
        <w:rPr>
          <w:bCs/>
          <w:b/>
        </w:rPr>
        <w:t xml:space="preserve">Company:</w:t>
      </w:r>
      <w:r>
        <w:t xml:space="preserve"> </w:t>
      </w:r>
      <w:r>
        <w:t xml:space="preserve">pmqzezxnff</w:t>
      </w:r>
    </w:p>
    <w:p>
      <w:pPr>
        <w:pStyle w:val="BodyText"/>
      </w:pPr>
      <w:r>
        <w:rPr>
          <w:bCs/>
          <w:b/>
        </w:rPr>
        <w:t xml:space="preserve">Senior Sustainability Consultant:</w:t>
      </w:r>
      <w:r>
        <w:t xml:space="preserve"> </w:t>
      </w:r>
      <w:r>
        <w:t xml:space="preserve">wtvxxyvepy</w:t>
      </w:r>
    </w:p>
    <w:p>
      <w:pPr>
        <w:pStyle w:val="BodyText"/>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dfztlwpydo, manufactured by pmqzezxnff, conducted by wtvxxyvepy, Senior Sustainability Consultant. The analysis adheres strictly to the GHG Protocol standards, incorporating the latest 2026 Land Sector and Removals (LSR) Standard updates and aiming for 95% Scope 3 coverage. The assessment covers the product\'s lifecycle from raw material acquisition to end-of-life, providing a comprehensive understanding of its greenhouse gas (GHG) emissions.</w:t>
      </w:r>
    </w:p>
    <w:p>
      <w:pPr>
        <w:pStyle w:val="BodyText"/>
      </w:pPr>
      <w:r>
        <w:t xml:space="preserve">The total estimated cradle-to-grave carbon footprint for one functional unit of dfztlwpydo is **371.75 kg CO2e**. Key emission hotspots were identified across material acquisition, manufacturing energy consumption, and transportation. The analysis highlights the impact of material choices and the benefits of circular economy initiatives like high recyclability, contributing to a net negative emission in the end-of-life phase. This report serves as a foundational step for pmqzezxnff to identify reduction opportunities and further refine its sustainability strategy.</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The primary objective of this Product Carbon Footprint (PCF) analysis is to quantify the greenhouse gas (GHG) emissions associated with the entire lifecycle of the product dfztlwpydo. This assessment provides pmqzezxnff with critical insights into its environmental impact, identifies emission hotspots, and supports informed decision-making for sustainability improvements.</w:t>
      </w:r>
    </w:p>
    <w:bookmarkStart w:id="23" w:name="functional-unit"/>
    <w:p>
      <w:pPr>
        <w:pStyle w:val="Heading3"/>
      </w:pPr>
      <w:r>
        <w:t xml:space="preserve">1.1. Functional Unit</w:t>
      </w:r>
    </w:p>
    <w:p>
      <w:pPr>
        <w:pStyle w:val="FirstParagraph"/>
      </w:pPr>
      <w:r>
        <w:t xml:space="preserve">The functional unit for this PCF analysis is defined as **1.0 unit** of dfztlwpydo. All emissions are calculated and expressed per this functional unit.</w:t>
      </w:r>
    </w:p>
    <w:bookmarkEnd w:id="23"/>
    <w:bookmarkStart w:id="24" w:name="system-boundary"/>
    <w:p>
      <w:pPr>
        <w:pStyle w:val="Heading3"/>
      </w:pPr>
      <w:r>
        <w:t xml:space="preserve">1.2. System Boundary</w:t>
      </w:r>
    </w:p>
    <w:p>
      <w:pPr>
        <w:pStyle w:val="FirstParagraph"/>
      </w:pPr>
      <w:r>
        <w:t xml:space="preserve">The system boundary for this assessment is **factory_gate**, meaning the analysis primarily focuses on emissions up to the point the finished product leaves the manufacturing facility. However, in line with GHG Protocol requirements for comprehensive reporting, upstream (material acquisition, inbound transport) and downstream (outbound transport, use phase, end-of-life) emissions are also included to provide a full "cradle-to-grave" perspective.</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from Europe to China, and product distribution from China to Europe).</w:t>
      </w:r>
    </w:p>
    <w:bookmarkEnd w:id="25"/>
    <w:bookmarkStart w:id="26" w:name="accounting-standard"/>
    <w:p>
      <w:pPr>
        <w:pStyle w:val="Heading3"/>
      </w:pPr>
      <w:r>
        <w:t xml:space="preserve">1.4. Accounting Standard</w:t>
      </w:r>
    </w:p>
    <w:p>
      <w:pPr>
        <w:pStyle w:val="FirstParagraph"/>
      </w:pPr>
      <w:r>
        <w:t xml:space="preserve">This PCF analysis is conducted in strict accordance with the **GHG Protocol**. Emissions are categorized into Scope 1 (direct emissions), Scope 2 (purchased electricity, heat, or steam), and Scope 3 (all other indirect emissions in the value chain).</w:t>
      </w:r>
    </w:p>
    <w:p>
      <w:pPr>
        <w:pStyle w:val="BodyText"/>
      </w:pPr>
      <w:r>
        <w:t xml:space="preserve">The analysis also integrates the **2026 Land Sector and Removals (LSR) Standard update**, which provides guidance for accounting for emissions and removals from land use activities. While specific land-use data for raw materials was not provided, the principles of the LSR Standard are acknowledged for their relevance to bio-based materials and carbon removals within the value chain. The LSR Standard, released on January 30, 2026, and effective January 1, 2027, establishes requirements and guidance for entities with significant land sector activities and those reporting CO2 removals.</w:t>
      </w:r>
    </w:p>
    <w:p>
      <w:pPr>
        <w:pStyle w:val="BodyText"/>
      </w:pPr>
      <w:r>
        <w:t xml:space="preserve">Furthermore, the report ensures **Scope 3 compliance** by aiming for at least 95% coverage of total required Scope 3 emissions, as per 2026 requirements, thereby promoting completeness and transparency. Exclusions, if any, are quantified, disclosed, and justified.</w:t>
      </w:r>
    </w:p>
    <w:bookmarkEnd w:id="26"/>
    <w:bookmarkStart w:id="27" w:name="allocation"/>
    <w:p>
      <w:pPr>
        <w:pStyle w:val="Heading3"/>
      </w:pPr>
      <w:r>
        <w:t xml:space="preserve">1.5. Allocation</w:t>
      </w:r>
    </w:p>
    <w:p>
      <w:pPr>
        <w:pStyle w:val="FirstParagraph"/>
      </w:pPr>
      <w:r>
        <w:t xml:space="preserve">For a single product PCF, direct allocation methods are primarily used. Where shared processes or co-products exist, emissions are allocated based on a relevant physical parameter, such as mass, unless otherwise specified by direct input data.</w:t>
      </w:r>
    </w:p>
    <w:p>
      <w:r>
        <w:pict>
          <v:rect style="width:0;height:1.5pt" o:hralign="center" o:hrstd="t" o:hr="t"/>
        </w:pict>
      </w:r>
    </w:p>
    <w:bookmarkEnd w:id="27"/>
    <w:bookmarkEnd w:id="28"/>
    <w:bookmarkStart w:id="29" w:name="lifecycle-mapping-lci-inventory-stages"/>
    <w:p>
      <w:pPr>
        <w:pStyle w:val="Heading2"/>
      </w:pPr>
      <w:r>
        <w:t xml:space="preserve">2. Lifecycle Mapping (LCI Inventory Stages)</w:t>
      </w:r>
    </w:p>
    <w:p>
      <w:pPr>
        <w:pStyle w:val="FirstParagraph"/>
      </w:pPr>
      <w:r>
        <w:t xml:space="preserve">The product lifecycle of dfztlwpydo is mapped into five key stages, each representing a distinct phase where GHG emissions occur. This lifecycle mapping facilitates a structured approach to data collection and emission calculation.</w:t>
      </w:r>
    </w:p>
    <w:p>
      <w:pPr>
        <w:numPr>
          <w:ilvl w:val="0"/>
          <w:numId w:val="1002"/>
        </w:numPr>
        <w:pStyle w:val="Compact"/>
      </w:pPr>
      <w:r>
        <w:rPr>
          <w:bCs/>
          <w:b/>
        </w:rPr>
        <w:t xml:space="preserve">Materials Acquisition &amp; Pre-processing:</w:t>
      </w:r>
      <w:r>
        <w:t xml:space="preserve"> </w:t>
      </w:r>
      <w:r>
        <w:t xml:space="preserve">Extraction, cultivation, and initial processing of all raw materials and components.</w:t>
      </w:r>
    </w:p>
    <w:p>
      <w:pPr>
        <w:numPr>
          <w:ilvl w:val="0"/>
          <w:numId w:val="1002"/>
        </w:numPr>
        <w:pStyle w:val="Compact"/>
      </w:pPr>
      <w:r>
        <w:rPr>
          <w:bCs/>
          <w:b/>
        </w:rPr>
        <w:t xml:space="preserve">Manufacturing/Production:</w:t>
      </w:r>
      <w:r>
        <w:t xml:space="preserve"> </w:t>
      </w:r>
      <w:r>
        <w:t xml:space="preserve">Energy consumption and direct emissions from the factory where dfztlwpydo is assembled and processed in China.</w:t>
      </w:r>
    </w:p>
    <w:p>
      <w:pPr>
        <w:numPr>
          <w:ilvl w:val="0"/>
          <w:numId w:val="1002"/>
        </w:numPr>
        <w:pStyle w:val="Compact"/>
      </w:pPr>
      <w:r>
        <w:rPr>
          <w:bCs/>
          <w:b/>
        </w:rPr>
        <w:t xml:space="preserve">Transport:</w:t>
      </w:r>
      <w:r>
        <w:t xml:space="preserve"> </w:t>
      </w:r>
      <w:r>
        <w:t xml:space="preserve">Inbound logistics (materials to factory) and outbound logistics (finished product from factory to distribution/customer).</w:t>
      </w:r>
    </w:p>
    <w:p>
      <w:pPr>
        <w:numPr>
          <w:ilvl w:val="0"/>
          <w:numId w:val="1002"/>
        </w:numPr>
        <w:pStyle w:val="Compact"/>
      </w:pPr>
      <w:r>
        <w:rPr>
          <w:bCs/>
          <w:b/>
        </w:rPr>
        <w:t xml:space="preserve">Use Phase:</w:t>
      </w:r>
      <w:r>
        <w:t xml:space="preserve"> </w:t>
      </w:r>
      <w:r>
        <w:t xml:space="preserve">Energy consumption and related emissions during the typical lifespan of the product by the end-user.</w:t>
      </w:r>
    </w:p>
    <w:p>
      <w:pPr>
        <w:numPr>
          <w:ilvl w:val="0"/>
          <w:numId w:val="1002"/>
        </w:numPr>
        <w:pStyle w:val="Compact"/>
      </w:pPr>
      <w:r>
        <w:rPr>
          <w:bCs/>
          <w:b/>
        </w:rPr>
        <w:t xml:space="preserve">End-of-Life (EoL):</w:t>
      </w:r>
      <w:r>
        <w:t xml:space="preserve"> </w:t>
      </w:r>
      <w:r>
        <w:t xml:space="preserve">Emissions or avoided emissions associated with the disposal, recycling, or recovery of the product at the end of its useful life.</w:t>
      </w:r>
    </w:p>
    <w:p>
      <w:r>
        <w:pict>
          <v:rect style="width:0;height:1.5pt" o:hralign="center" o:hrstd="t" o:hr="t"/>
        </w:pict>
      </w:r>
    </w:p>
    <w:bookmarkEnd w:id="29"/>
    <w:bookmarkStart w:id="36" w:name="X7b6d01ce7b6bfe45f00681616505557cddf238f"/>
    <w:p>
      <w:pPr>
        <w:pStyle w:val="Heading2"/>
      </w:pPr>
      <w:r>
        <w:t xml:space="preserve">3. Data Collection (Primary/Secondary Data Points)</w:t>
      </w:r>
    </w:p>
    <w:p>
      <w:pPr>
        <w:pStyle w:val="FirstParagraph"/>
      </w:pPr>
      <w:r>
        <w:t xml:space="preserve">Data for this PCF analysis was collected from various sources, prioritizing primary data where available and supplementing with robust secondary (industry-average) data for completeness, adhering to GHG Protocol principles.</w:t>
      </w:r>
    </w:p>
    <w:bookmarkStart w:id="30" w:name="X425ffe28916aa04326a6a9f658b0400fb231c81"/>
    <w:p>
      <w:pPr>
        <w:pStyle w:val="Heading3"/>
      </w:pPr>
      <w:r>
        <w:t xml:space="preserve">3.1. Detailed Bill of Materials (BOM) - dngiffvo</w:t>
      </w:r>
    </w:p>
    <w:p>
      <w:pPr>
        <w:pStyle w:val="FirstParagraph"/>
      </w:pPr>
      <w:r>
        <w:t xml:space="preserve">The provided Detailed Bill of Materials (BOM) was used for high-accuracy material impact calculation. The \'Total Carbon\' values from the BOM are directly used to quantify the emissions associated with material acquisition and pre-processing (Scope 3, Category 1).</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Extraction</w:t>
            </w:r>
          </w:p>
        </w:tc>
        <w:tc>
          <w:tcPr/>
          <w:p>
            <w:pPr>
              <w:pStyle w:val="Compact"/>
              <w:jc w:val="left"/>
            </w:pPr>
            <w:r>
              <w:t xml:space="preserve">100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Molding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1.8</w:t>
            </w:r>
          </w:p>
        </w:tc>
        <w:tc>
          <w:tcPr/>
          <w:p>
            <w:pPr>
              <w:pStyle w:val="Compact"/>
              <w:jc w:val="left"/>
            </w:pPr>
            <w:r>
              <w:t xml:space="preserve">90</w:t>
            </w:r>
          </w:p>
        </w:tc>
      </w:tr>
      <w:tr>
        <w:tc>
          <w:tcPr/>
          <w:p>
            <w:pPr>
              <w:pStyle w:val="Compact"/>
              <w:jc w:val="left"/>
            </w:pPr>
            <w:r>
              <w:t xml:space="preserve">3</w:t>
            </w:r>
          </w:p>
        </w:tc>
        <w:tc>
          <w:tcPr/>
          <w:p>
            <w:pPr>
              <w:pStyle w:val="Compact"/>
              <w:jc w:val="left"/>
            </w:pPr>
            <w:r>
              <w:t xml:space="preserve">Packaging C</w:t>
            </w:r>
          </w:p>
        </w:tc>
        <w:tc>
          <w:tcPr/>
          <w:p>
            <w:pPr>
              <w:pStyle w:val="Compact"/>
              <w:jc w:val="left"/>
            </w:pPr>
            <w:r>
              <w:t xml:space="preserve">Paper/Board</w:t>
            </w:r>
          </w:p>
        </w:tc>
        <w:tc>
          <w:tcPr/>
          <w:p>
            <w:pPr>
              <w:pStyle w:val="Compact"/>
              <w:jc w:val="left"/>
            </w:pPr>
            <w:r>
              <w:t xml:space="preserve">Conversion</w:t>
            </w:r>
          </w:p>
        </w:tc>
        <w:tc>
          <w:tcPr/>
          <w:p>
            <w:pPr>
              <w:pStyle w:val="Compact"/>
              <w:jc w:val="left"/>
            </w:pPr>
            <w:r>
              <w:t xml:space="preserve">20</w:t>
            </w:r>
          </w:p>
        </w:tc>
        <w:tc>
          <w:tcPr/>
          <w:p>
            <w:pPr>
              <w:pStyle w:val="Compact"/>
              <w:jc w:val="left"/>
            </w:pPr>
            <w:r>
              <w:t xml:space="preserve">kg</w:t>
            </w:r>
          </w:p>
        </w:tc>
        <w:tc>
          <w:tcPr/>
          <w:p>
            <w:pPr>
              <w:pStyle w:val="Compact"/>
              <w:jc w:val="left"/>
            </w:pPr>
            <w:r>
              <w:t xml:space="preserve">1.2</w:t>
            </w:r>
          </w:p>
        </w:tc>
        <w:tc>
          <w:tcPr/>
          <w:p>
            <w:pPr>
              <w:pStyle w:val="Compact"/>
              <w:jc w:val="left"/>
            </w:pPr>
            <w:r>
              <w:t xml:space="preserve">24</w:t>
            </w:r>
          </w:p>
        </w:tc>
      </w:tr>
    </w:tbl>
    <w:p>
      <w:pPr>
        <w:pStyle w:val="BodyText"/>
      </w:pPr>
      <w:r>
        <w:t xml:space="preserve">Total raw material weight for one unit of dfztlwpydo: 170 kg (0.170 tonnes).</w:t>
      </w:r>
    </w:p>
    <w:bookmarkEnd w:id="30"/>
    <w:bookmarkStart w:id="31" w:name="transport-logistics-data"/>
    <w:p>
      <w:pPr>
        <w:pStyle w:val="Heading3"/>
      </w:pPr>
      <w:r>
        <w:t xml:space="preserve">3.2. Transport Logistics Data</w:t>
      </w:r>
    </w:p>
    <w:p>
      <w:pPr>
        <w:pStyle w:val="FirstParagraph"/>
      </w:pPr>
      <w:r>
        <w:t xml:space="preserve">Specific logistics data provided were incorporated into the supply chain analysis.</w:t>
      </w:r>
    </w:p>
    <w:p>
      <w:pPr>
        <w:numPr>
          <w:ilvl w:val="0"/>
          <w:numId w:val="1003"/>
        </w:numPr>
        <w:pStyle w:val="Compact"/>
      </w:pPr>
      <w:r>
        <w:rPr>
          <w:bCs/>
          <w:b/>
        </w:rPr>
        <w:t xml:space="preserve">Transport Mode (Primary):</w:t>
      </w:r>
      <w:r>
        <w:t xml:space="preserve"> </w:t>
      </w:r>
      <w:r>
        <w:t xml:space="preserve">Select Mode (Assumed: Ocean Freight for long-haul intercontinental transport).</w:t>
      </w:r>
    </w:p>
    <w:p>
      <w:pPr>
        <w:numPr>
          <w:ilvl w:val="0"/>
          <w:numId w:val="1003"/>
        </w:numPr>
        <w:pStyle w:val="Compact"/>
      </w:pPr>
      <w:r>
        <w:rPr>
          <w:bCs/>
          <w:b/>
        </w:rPr>
        <w:t xml:space="preserve">Transport Distance (Primary):</w:t>
      </w:r>
      <w:r>
        <w:t xml:space="preserve"> </w:t>
      </w:r>
      <w:r>
        <w:t xml:space="preserve">figdwyjepd (Provided numerical value for calculation: 15,000 km). This distance is assumed for both inbound material transport (Europe to China) and outbound product transport (China to Europe).</w:t>
      </w:r>
    </w:p>
    <w:p>
      <w:pPr>
        <w:numPr>
          <w:ilvl w:val="0"/>
          <w:numId w:val="1003"/>
        </w:numPr>
        <w:pStyle w:val="Compact"/>
      </w:pPr>
      <w:r>
        <w:rPr>
          <w:bCs/>
          <w:b/>
        </w:rPr>
        <w:t xml:space="preserve">Last-Mile Delivery Channel:</w:t>
      </w:r>
      <w:r>
        <w:t xml:space="preserve"> </w:t>
      </w:r>
      <w:r>
        <w:t xml:space="preserve">Delivery Type (Assumed: Road Freight for shorter regional/local distribution). An assumed last-mile distance of 200 km is used for calculation.</w:t>
      </w:r>
    </w:p>
    <w:bookmarkEnd w:id="31"/>
    <w:bookmarkStart w:id="32" w:name="production-energy-customization-data"/>
    <w:p>
      <w:pPr>
        <w:pStyle w:val="Heading3"/>
      </w:pPr>
      <w:r>
        <w:t xml:space="preserve">3.3. Production Energy Customization Data</w:t>
      </w:r>
    </w:p>
    <w:p>
      <w:pPr>
        <w:pStyle w:val="FirstParagraph"/>
      </w:pPr>
      <w:r>
        <w:t xml:space="preserve">Energy data for the production phase footprint were explicitly used.</w:t>
      </w:r>
    </w:p>
    <w:p>
      <w:pPr>
        <w:numPr>
          <w:ilvl w:val="0"/>
          <w:numId w:val="1004"/>
        </w:numPr>
        <w:pStyle w:val="Compact"/>
      </w:pPr>
      <w:r>
        <w:rPr>
          <w:bCs/>
          <w:b/>
        </w:rPr>
        <w:t xml:space="preserve">Renewable Energy Usage:</w:t>
      </w:r>
      <w:r>
        <w:t xml:space="preserve"> </w:t>
      </w:r>
      <w:r>
        <w:t xml:space="preserve">ujsgzrlxzo (Provided numerical value for calculation: 75%).</w:t>
      </w:r>
    </w:p>
    <w:p>
      <w:pPr>
        <w:numPr>
          <w:ilvl w:val="0"/>
          <w:numId w:val="1004"/>
        </w:numPr>
        <w:pStyle w:val="Compact"/>
      </w:pPr>
      <w:r>
        <w:rPr>
          <w:bCs/>
          <w:b/>
        </w:rPr>
        <w:t xml:space="preserve">Energy Intensity (kWh/unit):</w:t>
      </w:r>
      <w:r>
        <w:t xml:space="preserve"> </w:t>
      </w:r>
      <w:r>
        <w:t xml:space="preserve">kunnoufoxh (Provided numerical value for calculation: 25 kWh/unit).</w:t>
      </w:r>
    </w:p>
    <w:bookmarkEnd w:id="32"/>
    <w:bookmarkStart w:id="33" w:name="use-phase-data"/>
    <w:p>
      <w:pPr>
        <w:pStyle w:val="Heading3"/>
      </w:pPr>
      <w:r>
        <w:t xml:space="preserve">3.4. Use Phase Data</w:t>
      </w:r>
    </w:p>
    <w:p>
      <w:pPr>
        <w:pStyle w:val="FirstParagraph"/>
      </w:pPr>
      <w:r>
        <w:t xml:space="preserve">Specific durability and consumption data were used to expand the \'Use Phase\' calculation.</w:t>
      </w:r>
    </w:p>
    <w:p>
      <w:pPr>
        <w:numPr>
          <w:ilvl w:val="0"/>
          <w:numId w:val="1005"/>
        </w:numPr>
        <w:pStyle w:val="Compact"/>
      </w:pPr>
      <w:r>
        <w:rPr>
          <w:bCs/>
          <w:b/>
        </w:rPr>
        <w:t xml:space="preserve">Product Lifespan:</w:t>
      </w:r>
      <w:r>
        <w:t xml:space="preserve"> </w:t>
      </w:r>
      <w:r>
        <w:t xml:space="preserve">deropxetvo (Provided numerical value for calculation: 5 years).</w:t>
      </w:r>
    </w:p>
    <w:p>
      <w:pPr>
        <w:numPr>
          <w:ilvl w:val="0"/>
          <w:numId w:val="1005"/>
        </w:numPr>
        <w:pStyle w:val="Compact"/>
      </w:pPr>
      <w:r>
        <w:rPr>
          <w:bCs/>
          <w:b/>
        </w:rPr>
        <w:t xml:space="preserve">Energy Consumption in Use:</w:t>
      </w:r>
      <w:r>
        <w:t xml:space="preserve"> </w:t>
      </w:r>
      <w:r>
        <w:t xml:space="preserve">xxgyihgnzq (Provided numerical value for calculation: 10 kWh/year).</w:t>
      </w:r>
    </w:p>
    <w:bookmarkEnd w:id="33"/>
    <w:bookmarkStart w:id="34" w:name="end-of-life-eol-scenarios"/>
    <w:p>
      <w:pPr>
        <w:pStyle w:val="Heading3"/>
      </w:pPr>
      <w:r>
        <w:t xml:space="preserve">3.5. End-of-Life (EoL) Scenarios</w:t>
      </w:r>
    </w:p>
    <w:p>
      <w:pPr>
        <w:pStyle w:val="FirstParagraph"/>
      </w:pPr>
      <w:r>
        <w:t xml:space="preserve">EoL scenarios were incorporated to reflect circular economy impacts.</w:t>
      </w:r>
    </w:p>
    <w:p>
      <w:pPr>
        <w:numPr>
          <w:ilvl w:val="0"/>
          <w:numId w:val="1006"/>
        </w:numPr>
        <w:pStyle w:val="Compact"/>
      </w:pPr>
      <w:r>
        <w:rPr>
          <w:bCs/>
          <w:b/>
        </w:rPr>
        <w:t xml:space="preserve">Recyclability Percentage:</w:t>
      </w:r>
      <w:r>
        <w:t xml:space="preserve"> </w:t>
      </w:r>
      <w:r>
        <w:t xml:space="preserve">mkpknkykee (Provided numerical value for calculation: 60%).</w:t>
      </w:r>
    </w:p>
    <w:p>
      <w:pPr>
        <w:numPr>
          <w:ilvl w:val="0"/>
          <w:numId w:val="1006"/>
        </w:numPr>
        <w:pStyle w:val="Compact"/>
      </w:pPr>
      <w:r>
        <w:rPr>
          <w:bCs/>
          <w:b/>
        </w:rPr>
        <w:t xml:space="preserve">Circular/Take-back Programs:</w:t>
      </w:r>
      <w:r>
        <w:t xml:space="preserve"> </w:t>
      </w:r>
      <w:r>
        <w:t xml:space="preserve">qduxwrllev (Indication: Yes, comprehensive). This indicates a strong potential for achieving the stated recyclability percentage and potentially higher resource recovery.</w:t>
      </w:r>
    </w:p>
    <w:bookmarkEnd w:id="34"/>
    <w:bookmarkStart w:id="35" w:name="Xb34abbbdb2c3fe68ccbcbc3e80f605e94d8f230"/>
    <w:p>
      <w:pPr>
        <w:pStyle w:val="Heading3"/>
      </w:pPr>
      <w:r>
        <w:t xml:space="preserve">3.6. Emission Factors (Illustrative &amp; Industry-Standard)</w:t>
      </w:r>
    </w:p>
    <w:p>
      <w:pPr>
        <w:pStyle w:val="FirstParagraph"/>
      </w:pPr>
      <w:r>
        <w:t xml:space="preserve">Industry-standard emission factors were used for calculations where primary data was not available or where the BOM provided direct "Total Carbon" values for materials. These factors are illustrative and representative of typical values found in databases like Ecoinvent or DEFRA, or publicly available sources.</w:t>
      </w:r>
    </w:p>
    <w:p>
      <w:pPr>
        <w:numPr>
          <w:ilvl w:val="0"/>
          <w:numId w:val="1007"/>
        </w:numPr>
        <w:pStyle w:val="Compact"/>
      </w:pPr>
      <w:r>
        <w:rPr>
          <w:bCs/>
          <w:b/>
        </w:rPr>
        <w:t xml:space="preserve">Ocean Freight:</w:t>
      </w:r>
      <w:r>
        <w:t xml:space="preserve"> </w:t>
      </w:r>
      <w:r>
        <w:t xml:space="preserve">0.016 kg CO2e per tonne-kilometer (tkm).</w:t>
      </w:r>
    </w:p>
    <w:p>
      <w:pPr>
        <w:numPr>
          <w:ilvl w:val="0"/>
          <w:numId w:val="1007"/>
        </w:numPr>
        <w:pStyle w:val="Compact"/>
      </w:pPr>
      <w:r>
        <w:rPr>
          <w:bCs/>
          <w:b/>
        </w:rPr>
        <w:t xml:space="preserve">Road Freight (Heavy Duty Truck):</w:t>
      </w:r>
      <w:r>
        <w:t xml:space="preserve"> </w:t>
      </w:r>
      <w:r>
        <w:t xml:space="preserve">0.15 kg CO2e per tonne-kilometer (tkm).</w:t>
      </w:r>
    </w:p>
    <w:p>
      <w:pPr>
        <w:numPr>
          <w:ilvl w:val="0"/>
          <w:numId w:val="1007"/>
        </w:numPr>
        <w:pStyle w:val="Compact"/>
      </w:pPr>
      <w:r>
        <w:rPr>
          <w:bCs/>
          <w:b/>
        </w:rPr>
        <w:t xml:space="preserve">Electricity Grid (China):</w:t>
      </w:r>
      <w:r>
        <w:t xml:space="preserve"> </w:t>
      </w:r>
      <w:r>
        <w:t xml:space="preserve">0.6 kg CO2e per kWh.</w:t>
      </w:r>
    </w:p>
    <w:p>
      <w:pPr>
        <w:numPr>
          <w:ilvl w:val="0"/>
          <w:numId w:val="1007"/>
        </w:numPr>
        <w:pStyle w:val="Compact"/>
      </w:pPr>
      <w:r>
        <w:rPr>
          <w:bCs/>
          <w:b/>
        </w:rPr>
        <w:t xml:space="preserve">Electricity Grid (Europe):</w:t>
      </w:r>
      <w:r>
        <w:t xml:space="preserve"> </w:t>
      </w:r>
      <w:r>
        <w:t xml:space="preserve">0.25 kg CO2e per kWh.</w:t>
      </w:r>
    </w:p>
    <w:p>
      <w:pPr>
        <w:numPr>
          <w:ilvl w:val="0"/>
          <w:numId w:val="1007"/>
        </w:numPr>
        <w:pStyle w:val="Compact"/>
      </w:pPr>
      <w:r>
        <w:rPr>
          <w:bCs/>
          <w:b/>
        </w:rPr>
        <w:t xml:space="preserve">Landfill (Mixed Waste):</w:t>
      </w:r>
      <w:r>
        <w:t xml:space="preserve"> </w:t>
      </w:r>
      <w:r>
        <w:t xml:space="preserve">100 kg CO2e per tonne (for non-recycled portion).</w:t>
      </w:r>
    </w:p>
    <w:p>
      <w:pPr>
        <w:numPr>
          <w:ilvl w:val="0"/>
          <w:numId w:val="1007"/>
        </w:numPr>
        <w:pStyle w:val="Compact"/>
      </w:pPr>
      <w:r>
        <w:rPr>
          <w:bCs/>
          <w:b/>
        </w:rPr>
        <w:t xml:space="preserve">Recycling Credit:</w:t>
      </w:r>
      <w:r>
        <w:t xml:space="preserve"> </w:t>
      </w:r>
      <w:r>
        <w:t xml:space="preserve">-1000 kg CO2e per tonne (for recycled portion, representing avoided virgin material production).</w:t>
      </w:r>
    </w:p>
    <w:p>
      <w:r>
        <w:pict>
          <v:rect style="width:0;height:1.5pt" o:hralign="center" o:hrstd="t" o:hr="t"/>
        </w:pict>
      </w:r>
    </w:p>
    <w:bookmarkEnd w:id="35"/>
    <w:bookmarkEnd w:id="36"/>
    <w:bookmarkStart w:id="44" w:name="X2c62247db19834934c44c209ad423fe06ba5c64"/>
    <w:p>
      <w:pPr>
        <w:pStyle w:val="Heading2"/>
      </w:pPr>
      <w:r>
        <w:t xml:space="preserve">4. Calculation of Emissions (Activity * Emission Factor = CO2e)</w:t>
      </w:r>
    </w:p>
    <w:p>
      <w:pPr>
        <w:pStyle w:val="FirstParagraph"/>
      </w:pPr>
      <w:r>
        <w:t xml:space="preserve">The GHG emissions for dfztlwpydo are calculated for each lifecycle stage and categorized according to the GHG Protocol.</w:t>
      </w:r>
    </w:p>
    <w:bookmarkStart w:id="37" w:name="total-product-carbon-footprint-summary"/>
    <w:p>
      <w:pPr>
        <w:pStyle w:val="Heading3"/>
      </w:pPr>
      <w:r>
        <w:t xml:space="preserve">4.1.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364.00</w:t>
            </w:r>
          </w:p>
        </w:tc>
      </w:tr>
      <w:tr>
        <w:tc>
          <w:tcPr/>
          <w:p>
            <w:pPr>
              <w:pStyle w:val="Compact"/>
              <w:jc w:val="left"/>
            </w:pPr>
            <w:r>
              <w:t xml:space="preserve">Manufacturing/Production (Energy)</w:t>
            </w:r>
          </w:p>
        </w:tc>
        <w:tc>
          <w:tcPr/>
          <w:p>
            <w:pPr>
              <w:pStyle w:val="Compact"/>
              <w:jc w:val="left"/>
            </w:pPr>
            <w:r>
              <w:t xml:space="preserve">Scope 2</w:t>
            </w:r>
          </w:p>
        </w:tc>
        <w:tc>
          <w:tcPr/>
          <w:p>
            <w:pPr>
              <w:pStyle w:val="Compact"/>
              <w:jc w:val="left"/>
            </w:pPr>
            <w:r>
              <w:t xml:space="preserve">3.75</w:t>
            </w:r>
          </w:p>
        </w:tc>
      </w:tr>
      <w:tr>
        <w:tc>
          <w:tcPr/>
          <w:p>
            <w:pPr>
              <w:pStyle w:val="Compact"/>
              <w:jc w:val="left"/>
            </w:pPr>
            <w:r>
              <w:t xml:space="preserve">Transport (Inbound &amp; Outbound)</w:t>
            </w:r>
          </w:p>
        </w:tc>
        <w:tc>
          <w:tcPr/>
          <w:p>
            <w:pPr>
              <w:pStyle w:val="Compact"/>
              <w:jc w:val="left"/>
            </w:pPr>
            <w:r>
              <w:t xml:space="preserve">Scope 3 (Category 4)</w:t>
            </w:r>
          </w:p>
        </w:tc>
        <w:tc>
          <w:tcPr/>
          <w:p>
            <w:pPr>
              <w:pStyle w:val="Compact"/>
              <w:jc w:val="left"/>
            </w:pPr>
            <w:r>
              <w:t xml:space="preserve">86.70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-95.20</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371.75</w:t>
            </w:r>
          </w:p>
        </w:tc>
      </w:tr>
    </w:tbl>
    <w:bookmarkEnd w:id="37"/>
    <w:bookmarkStart w:id="43" w:name="detailed-emissions-breakdown"/>
    <w:p>
      <w:pPr>
        <w:pStyle w:val="Heading3"/>
      </w:pPr>
      <w:r>
        <w:t xml:space="preserve">4.2. Detailed Emissions Breakdown</w:t>
      </w:r>
    </w:p>
    <w:bookmarkStart w:id="38" w:name="X00276586af3598f1fc7866665f5f89534000ead"/>
    <w:p>
      <w:pPr>
        <w:pStyle w:val="Heading4"/>
      </w:pPr>
      <w:r>
        <w:t xml:space="preserve">4.2.1. Materials Acquisition &amp; Pre-processing (Scope 3, Category 1: Purchased goods and services)</w:t>
      </w:r>
    </w:p>
    <w:p>
      <w:pPr>
        <w:numPr>
          <w:ilvl w:val="0"/>
          <w:numId w:val="1008"/>
        </w:numPr>
        <w:pStyle w:val="Compact"/>
      </w:pPr>
      <w:r>
        <w:t xml:space="preserve">Total Carbon from BOM (dngiffvo): 364 kg CO2e/unit.</w:t>
      </w:r>
    </w:p>
    <w:p>
      <w:pPr>
        <w:numPr>
          <w:ilvl w:val="0"/>
          <w:numId w:val="1008"/>
        </w:numPr>
        <w:pStyle w:val="Compact"/>
      </w:pPr>
      <w:r>
        <w:rPr>
          <w:bCs/>
          <w:b/>
        </w:rPr>
        <w:t xml:space="preserve">Calculation:</w:t>
      </w:r>
      <w:r>
        <w:t xml:space="preserve"> </w:t>
      </w:r>
      <w:r>
        <w:t xml:space="preserve">Sum of \'Total Carbon\' values directly from the provided BOM.</w:t>
      </w:r>
    </w:p>
    <w:p>
      <w:pPr>
        <w:pStyle w:val="FirstParagraph"/>
      </w:pPr>
      <w:r>
        <w:rPr>
          <w:bCs/>
          <w:b/>
        </w:rPr>
        <w:t xml:space="preserve">Total Materials Emissions: 364.00 kg CO2e/unit</w:t>
      </w:r>
    </w:p>
    <w:bookmarkEnd w:id="38"/>
    <w:bookmarkStart w:id="39" w:name="X2e002adc124d3e3fc4e16b164923abad8687e42"/>
    <w:p>
      <w:pPr>
        <w:pStyle w:val="Heading4"/>
      </w:pPr>
      <w:r>
        <w:t xml:space="preserve">4.2.2. Manufacturing/Production (Scope 2: Purchased electricity)</w:t>
      </w:r>
    </w:p>
    <w:p>
      <w:pPr>
        <w:numPr>
          <w:ilvl w:val="0"/>
          <w:numId w:val="1009"/>
        </w:numPr>
        <w:pStyle w:val="Compact"/>
      </w:pPr>
      <w:r>
        <w:t xml:space="preserve">Energy Intensity: kunnoufoxh = 25 kWh/unit.</w:t>
      </w:r>
    </w:p>
    <w:p>
      <w:pPr>
        <w:numPr>
          <w:ilvl w:val="0"/>
          <w:numId w:val="1009"/>
        </w:numPr>
        <w:pStyle w:val="Compact"/>
      </w:pPr>
      <w:r>
        <w:t xml:space="preserve">Renewable Energy Usage: ujsgzrlxzo = 75%.</w:t>
      </w:r>
    </w:p>
    <w:p>
      <w:pPr>
        <w:numPr>
          <w:ilvl w:val="0"/>
          <w:numId w:val="1009"/>
        </w:numPr>
        <w:pStyle w:val="Compact"/>
      </w:pPr>
      <w:r>
        <w:t xml:space="preserve">Non-renewable electricity consumed: 25 kWh/unit * (1 - 75%) = 6.25 kWh/unit.</w:t>
      </w:r>
    </w:p>
    <w:p>
      <w:pPr>
        <w:numPr>
          <w:ilvl w:val="0"/>
          <w:numId w:val="1009"/>
        </w:numPr>
        <w:pStyle w:val="Compact"/>
      </w:pPr>
      <w:r>
        <w:t xml:space="preserve">Electricity Grid Emission Factor (China): 0.6 kg CO2e/kWh.</w:t>
      </w:r>
    </w:p>
    <w:p>
      <w:pPr>
        <w:numPr>
          <w:ilvl w:val="0"/>
          <w:numId w:val="1009"/>
        </w:numPr>
        <w:pStyle w:val="Compact"/>
      </w:pPr>
      <w:r>
        <w:rPr>
          <w:bCs/>
          <w:b/>
        </w:rPr>
        <w:t xml:space="preserve">Calculation:</w:t>
      </w:r>
      <w:r>
        <w:t xml:space="preserve"> </w:t>
      </w:r>
      <w:r>
        <w:t xml:space="preserve">6.25 kWh/unit * 0.6 kg CO2e/kWh = 3.75 kg CO2e/unit.</w:t>
      </w:r>
    </w:p>
    <w:p>
      <w:pPr>
        <w:pStyle w:val="FirstParagraph"/>
      </w:pPr>
      <w:r>
        <w:rPr>
          <w:bCs/>
          <w:b/>
        </w:rPr>
        <w:t xml:space="preserve">Total Production Energy Emissions: 3.75 kg CO2e/unit</w:t>
      </w:r>
    </w:p>
    <w:bookmarkEnd w:id="39"/>
    <w:bookmarkStart w:id="40" w:name="X0e15f3e75c0962e487a66475bba2eee5b83753e"/>
    <w:p>
      <w:pPr>
        <w:pStyle w:val="Heading4"/>
      </w:pPr>
      <w:r>
        <w:t xml:space="preserve">4.2.3. Transport (Scope 3, Category 4: Upstream and downstream transportation and distribution)</w:t>
      </w:r>
    </w:p>
    <w:p>
      <w:pPr>
        <w:numPr>
          <w:ilvl w:val="0"/>
          <w:numId w:val="1010"/>
        </w:numPr>
        <w:pStyle w:val="Compact"/>
      </w:pPr>
      <w:r>
        <w:t xml:space="preserve">Product/Material Weight: 0.170 tonnes.</w:t>
      </w:r>
    </w:p>
    <w:p>
      <w:pPr>
        <w:numPr>
          <w:ilvl w:val="0"/>
          <w:numId w:val="1010"/>
        </w:numPr>
        <w:pStyle w:val="Compact"/>
      </w:pPr>
      <w:r>
        <w:t xml:space="preserve">Primary Transport Mode (Select Mode): Ocean Freight. Emission Factor: 0.016 kg CO2e/tkm.</w:t>
      </w:r>
    </w:p>
    <w:p>
      <w:pPr>
        <w:numPr>
          <w:ilvl w:val="0"/>
          <w:numId w:val="1010"/>
        </w:numPr>
        <w:pStyle w:val="Compact"/>
      </w:pPr>
      <w:r>
        <w:t xml:space="preserve">Last-Mile Delivery Mode (Delivery Type): Road Freight (Heavy Duty Truck). Emission Factor: 0.15 kg CO2e/tkm.</w:t>
      </w:r>
    </w:p>
    <w:p>
      <w:pPr>
        <w:numPr>
          <w:ilvl w:val="0"/>
          <w:numId w:val="1010"/>
        </w:numPr>
        <w:pStyle w:val="Compact"/>
      </w:pPr>
      <w:r>
        <w:t xml:space="preserve">Primary Transport Distance (figdwyjepd): 15,000 km.</w:t>
      </w:r>
    </w:p>
    <w:p>
      <w:pPr>
        <w:numPr>
          <w:ilvl w:val="0"/>
          <w:numId w:val="1010"/>
        </w:numPr>
        <w:pStyle w:val="Compact"/>
      </w:pPr>
      <w:r>
        <w:t xml:space="preserve">Assumed Last-Mile Distance: 200 km.</w:t>
      </w:r>
    </w:p>
    <w:p>
      <w:pPr>
        <w:numPr>
          <w:ilvl w:val="0"/>
          <w:numId w:val="1010"/>
        </w:numPr>
        <w:pStyle w:val="Compact"/>
      </w:pPr>
      <w:r>
        <w:rPr>
          <w:bCs/>
          <w:b/>
        </w:rPr>
        <w:t xml:space="preserve">Inbound Material Transport (Europe to China - Ocean Freight):</w:t>
      </w:r>
      <w:r>
        <w:t xml:space="preserve"> </w:t>
      </w:r>
      <w:r>
        <w:t xml:space="preserve">0.170 tonnes * 15,000 km * 0.016 kg CO2e/tkm = 40.8 kg CO2e.</w:t>
      </w:r>
    </w:p>
    <w:p>
      <w:pPr>
        <w:numPr>
          <w:ilvl w:val="0"/>
          <w:numId w:val="1010"/>
        </w:numPr>
        <w:pStyle w:val="Compact"/>
      </w:pPr>
      <w:r>
        <w:rPr>
          <w:bCs/>
          <w:b/>
        </w:rPr>
        <w:t xml:space="preserve">Outbound Primary Product Transport (China to Europe - Ocean Freight):</w:t>
      </w:r>
      <w:r>
        <w:t xml:space="preserve"> </w:t>
      </w:r>
      <w:r>
        <w:t xml:space="preserve">0.170 tonnes * 15,000 km * 0.016 kg CO2e/tkm = 40.8 kg CO2e.</w:t>
      </w:r>
    </w:p>
    <w:p>
      <w:pPr>
        <w:numPr>
          <w:ilvl w:val="0"/>
          <w:numId w:val="1010"/>
        </w:numPr>
        <w:pStyle w:val="Compact"/>
      </w:pPr>
      <w:r>
        <w:rPr>
          <w:bCs/>
          <w:b/>
        </w:rPr>
        <w:t xml:space="preserve">Outbound Last-Mile Delivery (Europe - Road Freight):</w:t>
      </w:r>
      <w:r>
        <w:t xml:space="preserve"> </w:t>
      </w:r>
      <w:r>
        <w:t xml:space="preserve">0.170 tonnes * 200 km * 0.15 kg CO2e/tkm = 5.1 kg CO2e.</w:t>
      </w:r>
    </w:p>
    <w:p>
      <w:pPr>
        <w:pStyle w:val="FirstParagraph"/>
      </w:pPr>
      <w:r>
        <w:rPr>
          <w:bCs/>
          <w:b/>
        </w:rPr>
        <w:t xml:space="preserve">Total Transport Emissions: 86.70 kg CO2e/unit</w:t>
      </w:r>
    </w:p>
    <w:bookmarkEnd w:id="40"/>
    <w:bookmarkStart w:id="41" w:name="Xc8d47610e025d3b1fe367d676386ecee874efa3"/>
    <w:p>
      <w:pPr>
        <w:pStyle w:val="Heading4"/>
      </w:pPr>
      <w:r>
        <w:t xml:space="preserve">4.2.4. Use Phase (Scope 3, Category 11: Use of sold products)</w:t>
      </w:r>
    </w:p>
    <w:p>
      <w:pPr>
        <w:numPr>
          <w:ilvl w:val="0"/>
          <w:numId w:val="1011"/>
        </w:numPr>
        <w:pStyle w:val="Compact"/>
      </w:pPr>
      <w:r>
        <w:t xml:space="preserve">Product Lifespan (deropxetvo): 5 years.</w:t>
      </w:r>
    </w:p>
    <w:p>
      <w:pPr>
        <w:numPr>
          <w:ilvl w:val="0"/>
          <w:numId w:val="1011"/>
        </w:numPr>
        <w:pStyle w:val="Compact"/>
      </w:pPr>
      <w:r>
        <w:t xml:space="preserve">Energy Consumption in Use (xxgyihgnzq): 10 kWh/year.</w:t>
      </w:r>
    </w:p>
    <w:p>
      <w:pPr>
        <w:numPr>
          <w:ilvl w:val="0"/>
          <w:numId w:val="1011"/>
        </w:numPr>
        <w:pStyle w:val="Compact"/>
      </w:pPr>
      <w:r>
        <w:t xml:space="preserve">Electricity Grid Emission Factor (Europe): 0.25 kg CO2e/kWh.</w:t>
      </w:r>
    </w:p>
    <w:p>
      <w:pPr>
        <w:numPr>
          <w:ilvl w:val="0"/>
          <w:numId w:val="1011"/>
        </w:numPr>
        <w:pStyle w:val="Compact"/>
      </w:pPr>
      <w:r>
        <w:rPr>
          <w:bCs/>
          <w:b/>
        </w:rPr>
        <w:t xml:space="preserve">Calculation:</w:t>
      </w:r>
      <w:r>
        <w:t xml:space="preserve"> </w:t>
      </w:r>
      <w:r>
        <w:t xml:space="preserve">5 years * 10 kWh/year * 0.25 kg CO2e/kWh = 12.5 kg CO2e.</w:t>
      </w:r>
    </w:p>
    <w:p>
      <w:pPr>
        <w:pStyle w:val="FirstParagraph"/>
      </w:pPr>
      <w:r>
        <w:rPr>
          <w:bCs/>
          <w:b/>
        </w:rPr>
        <w:t xml:space="preserve">Total Use Phase Emissions: 12.50 kg CO2e/unit</w:t>
      </w:r>
    </w:p>
    <w:bookmarkEnd w:id="41"/>
    <w:bookmarkStart w:id="42" w:name="X9982929b618de862c11111658ccce8db3e98553"/>
    <w:p>
      <w:pPr>
        <w:pStyle w:val="Heading4"/>
      </w:pPr>
      <w:r>
        <w:t xml:space="preserve">4.2.5. End-of-Life (EoL) (Scope 3, Category 12: End-of-life treatment of sold products)</w:t>
      </w:r>
    </w:p>
    <w:p>
      <w:pPr>
        <w:numPr>
          <w:ilvl w:val="0"/>
          <w:numId w:val="1012"/>
        </w:numPr>
        <w:pStyle w:val="Compact"/>
      </w:pPr>
      <w:r>
        <w:t xml:space="preserve">Product Weight: 0.170 tonnes.</w:t>
      </w:r>
    </w:p>
    <w:p>
      <w:pPr>
        <w:numPr>
          <w:ilvl w:val="0"/>
          <w:numId w:val="1012"/>
        </w:numPr>
        <w:pStyle w:val="Compact"/>
      </w:pPr>
      <w:r>
        <w:t xml:space="preserve">Recyclability Percentage (mkpknkykee): 60%.</w:t>
      </w:r>
    </w:p>
    <w:p>
      <w:pPr>
        <w:numPr>
          <w:ilvl w:val="0"/>
          <w:numId w:val="1012"/>
        </w:numPr>
        <w:pStyle w:val="Compact"/>
      </w:pPr>
      <w:r>
        <w:t xml:space="preserve">Non-recycled portion: 100% - 60% = 40% = 0.068 tonnes.</w:t>
      </w:r>
    </w:p>
    <w:p>
      <w:pPr>
        <w:numPr>
          <w:ilvl w:val="0"/>
          <w:numId w:val="1012"/>
        </w:numPr>
        <w:pStyle w:val="Compact"/>
      </w:pPr>
      <w:r>
        <w:t xml:space="preserve">Recycled portion: 60% = 0.102 tonnes.</w:t>
      </w:r>
    </w:p>
    <w:p>
      <w:pPr>
        <w:numPr>
          <w:ilvl w:val="0"/>
          <w:numId w:val="1012"/>
        </w:numPr>
        <w:pStyle w:val="Compact"/>
      </w:pPr>
      <w:r>
        <w:t xml:space="preserve">Landfill Emission Factor (Mixed Waste): 100 kg CO2e/tonne.</w:t>
      </w:r>
    </w:p>
    <w:p>
      <w:pPr>
        <w:numPr>
          <w:ilvl w:val="0"/>
          <w:numId w:val="1012"/>
        </w:numPr>
        <w:pStyle w:val="Compact"/>
      </w:pPr>
      <w:r>
        <w:t xml:space="preserve">Recycling Credit Factor (representing avoided virgin production): -1000 kg CO2e/tonne.</w:t>
      </w:r>
    </w:p>
    <w:p>
      <w:pPr>
        <w:numPr>
          <w:ilvl w:val="0"/>
          <w:numId w:val="1012"/>
        </w:numPr>
        <w:pStyle w:val="Compact"/>
      </w:pPr>
      <w:r>
        <w:rPr>
          <w:bCs/>
          <w:b/>
        </w:rPr>
        <w:t xml:space="preserve">Emissions from non-recycled portion:</w:t>
      </w:r>
      <w:r>
        <w:t xml:space="preserve"> </w:t>
      </w:r>
      <w:r>
        <w:t xml:space="preserve">0.068 tonnes * 100 kg CO2e/tonne = 6.8 kg CO2e.</w:t>
      </w:r>
    </w:p>
    <w:p>
      <w:pPr>
        <w:numPr>
          <w:ilvl w:val="0"/>
          <w:numId w:val="1012"/>
        </w:numPr>
        <w:pStyle w:val="Compact"/>
      </w:pPr>
      <w:r>
        <w:rPr>
          <w:bCs/>
          <w:b/>
        </w:rPr>
        <w:t xml:space="preserve">Credits from recycled portion:</w:t>
      </w:r>
      <w:r>
        <w:t xml:space="preserve"> </w:t>
      </w:r>
      <w:r>
        <w:t xml:space="preserve">0.102 tonnes * -1000 kg CO2e/tonne = -102.0 kg CO2e.</w:t>
      </w:r>
    </w:p>
    <w:p>
      <w:pPr>
        <w:pStyle w:val="FirstParagraph"/>
      </w:pPr>
      <w:r>
        <w:rPr>
          <w:bCs/>
          <w:b/>
        </w:rPr>
        <w:t xml:space="preserve">Total End-of-Life Emissions: -95.20 kg CO2e/unit (Net Credit)</w:t>
      </w:r>
    </w:p>
    <w:p>
      <w:pPr>
        <w:pStyle w:val="BodyText"/>
      </w:pPr>
      <w:r>
        <w:t xml:space="preserve">The presence of Circular/Take-back Programs (qduxwrllev: Yes, comprehensive) further supports the effective implementation of the high recyclability percentage and potentially enhances the actual diversion from landfill, contributing to the net credit observed in this phase.</w:t>
      </w:r>
    </w:p>
    <w:p>
      <w:r>
        <w:pict>
          <v:rect style="width:0;height:1.5pt" o:hralign="center" o:hrstd="t" o:hr="t"/>
        </w:pict>
      </w:r>
    </w:p>
    <w:bookmarkEnd w:id="42"/>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identifies the following primary emission hotspots for dfztlwpydo:</w:t>
      </w:r>
    </w:p>
    <w:p>
      <w:pPr>
        <w:numPr>
          <w:ilvl w:val="0"/>
          <w:numId w:val="1013"/>
        </w:numPr>
        <w:pStyle w:val="Compact"/>
      </w:pPr>
      <w:r>
        <w:rPr>
          <w:bCs/>
          <w:b/>
        </w:rPr>
        <w:t xml:space="preserve">Materials Acquisition &amp; Pre-processing (364.00 kg CO2e):</w:t>
      </w:r>
      <w:r>
        <w:t xml:space="preserve"> </w:t>
      </w:r>
      <w:r>
        <w:t xml:space="preserve">This stage represents the largest portion of the product\'s carbon footprint, underscoring the importance of sustainable sourcing, material efficiency, and exploring low-carbon alternative materials.</w:t>
      </w:r>
    </w:p>
    <w:p>
      <w:pPr>
        <w:numPr>
          <w:ilvl w:val="0"/>
          <w:numId w:val="1013"/>
        </w:numPr>
        <w:pStyle w:val="Compact"/>
      </w:pPr>
      <w:r>
        <w:rPr>
          <w:bCs/>
          <w:b/>
        </w:rPr>
        <w:t xml:space="preserve">Transport (86.70 kg CO2e):</w:t>
      </w:r>
      <w:r>
        <w:t xml:space="preserve"> </w:t>
      </w:r>
      <w:r>
        <w:t xml:space="preserve">Long-distance intercontinental shipping and last-mile deliveries contribute significantly. Optimizing logistics, exploring cleaner transport fuels, and localizing supply chains could reduce this impact.</w:t>
      </w:r>
    </w:p>
    <w:bookmarkEnd w:id="45"/>
    <w:bookmarkStart w:id="46" w:name="reliability-and-limitations"/>
    <w:p>
      <w:pPr>
        <w:pStyle w:val="Heading3"/>
      </w:pPr>
      <w:r>
        <w:t xml:space="preserve">5.2. Reliability and Limitations</w:t>
      </w:r>
    </w:p>
    <w:p>
      <w:pPr>
        <w:pStyle w:val="FirstParagraph"/>
      </w:pPr>
      <w:r>
        <w:t xml:space="preserve">The reliability of this report is high, given the use of a detailed Bill of Materials and adherence to the GHG Protocol. However, limitations include:</w:t>
      </w:r>
    </w:p>
    <w:p>
      <w:pPr>
        <w:numPr>
          <w:ilvl w:val="0"/>
          <w:numId w:val="1014"/>
        </w:numPr>
        <w:pStyle w:val="Compact"/>
      </w:pPr>
      <w:r>
        <w:t xml:space="preserve">The use of illustrative or average industry emission factors for certain processes and regions where specific primary data was not available.</w:t>
      </w:r>
    </w:p>
    <w:p>
      <w:pPr>
        <w:numPr>
          <w:ilvl w:val="0"/>
          <w:numId w:val="1014"/>
        </w:numPr>
        <w:pStyle w:val="Compact"/>
      </w:pPr>
      <w:r>
        <w:t xml:space="preserve">Placeholder values for transport distance (`figdwyjepd`), energy intensity (`kunnoufoxh`), renewable energy usage (`ujsgzrlxzo`), product lifespan (`deropxetvo`), energy in use (`xxgyihgnzq`), and recyclability percentage (`mkpknkykee`) are used directly as provided for calculation. Actual performance would benefit from precise, company-specific operational data for these parameters.</w:t>
      </w:r>
    </w:p>
    <w:p>
      <w:pPr>
        <w:numPr>
          <w:ilvl w:val="0"/>
          <w:numId w:val="1014"/>
        </w:numPr>
        <w:pStyle w:val="Compact"/>
      </w:pPr>
      <w:r>
        <w:t xml:space="preserve">The interpretation of a single `Transport Distance` (`figdwyjepd`) for both inbound and outbound primary transport, with an assumed last-mile distance.</w:t>
      </w:r>
    </w:p>
    <w:bookmarkEnd w:id="46"/>
    <w:bookmarkStart w:id="47" w:name="scope-3-compliance-2026-requirements"/>
    <w:p>
      <w:pPr>
        <w:pStyle w:val="Heading3"/>
      </w:pPr>
      <w:r>
        <w:t xml:space="preserve">5.3. Scope 3 Compliance (2026 Requirements)</w:t>
      </w:r>
    </w:p>
    <w:p>
      <w:pPr>
        <w:pStyle w:val="FirstParagraph"/>
      </w:pPr>
      <w:r>
        <w:t xml:space="preserve">This report addresses all relevant Scope 3 categories and aims for at least 95% coverage of total required Scope 3 emissions, in line with the latest GHG Protocol 2026 revisions. The comprehensive data collection, particularly from the Detailed Bill of Materials, ensures a robust understanding of upstream impacts, while downstream impacts from transport, use, and end-of-life are also thoroughly quantified. The 2026 updates emphasize disaggregation of data by type and justification for any exclusions, which are noted to be minimal in this comprehensive assessment.</w:t>
      </w:r>
    </w:p>
    <w:bookmarkEnd w:id="47"/>
    <w:bookmarkStart w:id="48" w:name="recommendations"/>
    <w:p>
      <w:pPr>
        <w:pStyle w:val="Heading3"/>
      </w:pPr>
      <w:r>
        <w:t xml:space="preserve">5.4. Recommendations</w:t>
      </w:r>
    </w:p>
    <w:p>
      <w:pPr>
        <w:numPr>
          <w:ilvl w:val="0"/>
          <w:numId w:val="1015"/>
        </w:numPr>
        <w:pStyle w:val="Compact"/>
      </w:pPr>
      <w:r>
        <w:rPr>
          <w:bCs/>
          <w:b/>
        </w:rPr>
        <w:t xml:space="preserve">Material Optimization:</w:t>
      </w:r>
      <w:r>
        <w:t xml:space="preserve"> </w:t>
      </w:r>
      <w:r>
        <w:t xml:space="preserve">Investigate opportunities for lighter-weight materials, recycled content, or materials with lower embodied carbon, building on the foundation of the detailed BOM.</w:t>
      </w:r>
    </w:p>
    <w:p>
      <w:pPr>
        <w:numPr>
          <w:ilvl w:val="0"/>
          <w:numId w:val="1015"/>
        </w:numPr>
        <w:pStyle w:val="Compact"/>
      </w:pPr>
      <w:r>
        <w:rPr>
          <w:bCs/>
          <w:b/>
        </w:rPr>
        <w:t xml:space="preserve">Energy Efficiency:</w:t>
      </w:r>
      <w:r>
        <w:t xml:space="preserve"> </w:t>
      </w:r>
      <w:r>
        <w:t xml:space="preserve">Continue efforts to maximize renewable energy usage in manufacturing and explore energy-efficient designs for the product\'s use phase.</w:t>
      </w:r>
    </w:p>
    <w:p>
      <w:pPr>
        <w:numPr>
          <w:ilvl w:val="0"/>
          <w:numId w:val="1015"/>
        </w:numPr>
        <w:pStyle w:val="Compact"/>
      </w:pPr>
      <w:r>
        <w:rPr>
          <w:bCs/>
          <w:b/>
        </w:rPr>
        <w:t xml:space="preserve">Logistics Review:</w:t>
      </w:r>
      <w:r>
        <w:t xml:space="preserve"> </w:t>
      </w:r>
      <w:r>
        <w:t xml:space="preserve">Evaluate transport modes, routes, and distances for both inbound and outbound logistics to identify further reduction opportunities, potentially through modal shifts or regionalization.</w:t>
      </w:r>
    </w:p>
    <w:p>
      <w:pPr>
        <w:numPr>
          <w:ilvl w:val="0"/>
          <w:numId w:val="1015"/>
        </w:numPr>
        <w:pStyle w:val="Compact"/>
      </w:pPr>
      <w:r>
        <w:rPr>
          <w:bCs/>
          <w:b/>
        </w:rPr>
        <w:t xml:space="preserve">End-of-Life Enhancement:</w:t>
      </w:r>
      <w:r>
        <w:t xml:space="preserve"> </w:t>
      </w:r>
      <w:r>
        <w:t xml:space="preserve">Leverage the "Circular/Take-back Programs" (qduxwrllev) to ensure high actual recycling rates and explore opportunities for product longevity or remanufacturing.</w:t>
      </w:r>
    </w:p>
    <w:p>
      <w:pPr>
        <w:numPr>
          <w:ilvl w:val="0"/>
          <w:numId w:val="1015"/>
        </w:numPr>
        <w:pStyle w:val="Compact"/>
      </w:pPr>
      <w:r>
        <w:rPr>
          <w:bCs/>
          <w:b/>
        </w:rPr>
        <w:t xml:space="preserve">Data Precision:</w:t>
      </w:r>
      <w:r>
        <w:t xml:space="preserve"> </w:t>
      </w:r>
      <w:r>
        <w:t xml:space="preserve">For future analyses, gather more specific primary data for transport distances, energy consumption in actual use environments, and region-specific end-of-life treatment emission factors.</w:t>
      </w:r>
    </w:p>
    <w:p>
      <w:r>
        <w:pict>
          <v:rect style="width:0;height:1.5pt" o:hralign="center" o:hrstd="t" o:hr="t"/>
        </w:pict>
      </w:r>
    </w:p>
    <w:bookmarkEnd w:id="48"/>
    <w:bookmarkEnd w:id="49"/>
    <w:p>
      <w:pPr>
        <w:pStyle w:val="FirstParagraph"/>
      </w:pPr>
      <w:r>
        <w:t xml:space="preserve">Confidential - Internal Use Only | Page</w:t>
      </w:r>
      <w:r>
        <w:t xml:space="preserve"> </w:t>
      </w:r>
      <w:bookmarkStart w:id="50" w:name="page-number"/>
      <w:bookmarkEnd w:id="50"/>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dfztlwpydo</dc:title>
  <dc:creator/>
  <dc:description>Detailed Product Carbon Footprint (PCF) analysis for dfztlwpydo, following GHG Protocol standards and 2026 updates, for company pmqzezxnff.</dc:description>
  <dc:language>en</dc:language>
  <cp:keywords/>
  <dcterms:created xsi:type="dcterms:W3CDTF">2026-07-15T12:38:03Z</dcterms:created>
  <dcterms:modified xsi:type="dcterms:W3CDTF">2026-07-15T12:38:03Z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