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delmwelezq</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delmwelezq</w:t>
      </w:r>
    </w:p>
    <w:p>
      <w:pPr>
        <w:pStyle w:val="BodyText"/>
      </w:pPr>
      <w:r>
        <w:t xml:space="preserve">Company: nlisdvkylg</w:t>
      </w:r>
    </w:p>
    <w:p>
      <w:pPr>
        <w:pStyle w:val="BodyText"/>
      </w:pPr>
      <w:r>
        <w:t xml:space="preserve">Senior Sustainability Consultant: vlgpglxukj</w:t>
      </w:r>
    </w:p>
    <w:p>
      <w:pPr>
        <w:pStyle w:val="BodyText"/>
      </w:pPr>
      <w:r>
        <w:t xml:space="preserve">Accounting Standard: GHG Protocol</w:t>
      </w:r>
    </w:p>
    <w:p>
      <w:pPr>
        <w:pStyle w:val="BodyText"/>
      </w:pPr>
      <w:r>
        <w:t xml:space="preserve">This report is generated based on available data and industry standards. While efforts have been made to ensure accuracy and detail, it should be used for informational and strategic planning purposes.</w:t>
      </w:r>
    </w:p>
    <w:bookmarkEnd w:id="20"/>
    <w:bookmarkStart w:id="39" w:name="Xaa04f679eb7ea489be7213bbc3d93989c0a9420"/>
    <w:p>
      <w:pPr>
        <w:pStyle w:val="Heading1"/>
      </w:pPr>
      <w:r>
        <w:t xml:space="preserve">Product Carbon Footprint Analysis Report for delmwelezq</w:t>
      </w:r>
    </w:p>
    <w:p>
      <w:pPr>
        <w:pStyle w:val="FirstParagraph"/>
      </w:pPr>
      <w:r>
        <w:rPr>
          <w:bCs/>
          <w:b/>
        </w:rPr>
        <w:t xml:space="preserve">Generated Date:</w:t>
      </w:r>
      <w:r>
        <w:t xml:space="preserve"> </w:t>
      </w:r>
      <w:r>
        <w:t xml:space="preserve">June 2,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\'delmwelezq\', manufactured by \'nlisdvkylg\', conducted by vlgpglxukj, Senior Sustainability Consultant. The analysis strictly adheres to the Greenhouse Gas (GHG) Protocol standards, incorporating the latest 2026 updates including the Land Sector and Removals (LSR) Standard and stringent Scope 3 coverage requirements. The total calculated Product Carbon Footprint for one functional unit of delmwelezq is approximately **13.31 kg CO2e**. Key emission hotspots identified include material acquisition, the product\'s use phase, and purchased electricity for manufacturing, with circular economy initiatives providing a notable credit at end-of-life.</w:t>
      </w:r>
    </w:p>
    <w:p>
      <w:r>
        <w:pict>
          <v:rect style="width:0;height:1.5pt" o:hralign="center" o:hrstd="t" o:hr="t"/>
        </w:pict>
      </w:r>
    </w:p>
    <w:bookmarkEnd w:id="21"/>
    <w:bookmarkStart w:id="22" w:name="defining-the-scope"/>
    <w:p>
      <w:pPr>
        <w:pStyle w:val="Heading2"/>
      </w:pPr>
      <w:r>
        <w:t xml:space="preserve">1. Defining the Scope</w:t>
      </w:r>
    </w:p>
    <w:p>
      <w:pPr>
        <w:pStyle w:val="FirstParagraph"/>
      </w:pPr>
      <w:r>
        <w:t xml:space="preserve">The first step in any robust carbon footprint assessment is to clearly define the boundaries and parameters of the study. This ensures consistency, comparability, and relevance of the results.</w:t>
      </w:r>
    </w:p>
    <w:p>
      <w:pPr>
        <w:numPr>
          <w:ilvl w:val="0"/>
          <w:numId w:val="1001"/>
        </w:numPr>
        <w:pStyle w:val="Compact"/>
      </w:pPr>
      <w:r>
        <w:rPr>
          <w:bCs/>
          <w:b/>
        </w:rPr>
        <w:t xml:space="preserve">Functional Unit:</w:t>
      </w:r>
      <w:r>
        <w:t xml:space="preserve"> </w:t>
      </w:r>
      <w:r>
        <w:t xml:space="preserve">1.0 unit of delmwelezq. This represents the reference unit to which all environmental impacts are normalized.</w:t>
      </w:r>
    </w:p>
    <w:p>
      <w:pPr>
        <w:numPr>
          <w:ilvl w:val="0"/>
          <w:numId w:val="1001"/>
        </w:numPr>
        <w:pStyle w:val="Compact"/>
      </w:pPr>
      <w:r>
        <w:rPr>
          <w:bCs/>
          <w:b/>
        </w:rPr>
        <w:t xml:space="preserve">System Boundary:</w:t>
      </w:r>
      <w:r>
        <w:t xml:space="preserve"> </w:t>
      </w:r>
      <w:r>
        <w:t xml:space="preserve">Factory-gate to End-of-Life. This includes all processes from raw material extraction and processing (cradle) through manufacturing, distribution, product use, and end-of-life treatment. The "factory_gate" parameter was interpreted as the point where the finished product leaves the manufacturing facility for distribution.</w:t>
      </w:r>
    </w:p>
    <w:p>
      <w:pPr>
        <w:numPr>
          <w:ilvl w:val="0"/>
          <w:numId w:val="1001"/>
        </w:numPr>
        <w:pStyle w:val="Compact"/>
      </w:pPr>
      <w:r>
        <w:rPr>
          <w:bCs/>
          <w:b/>
        </w:rPr>
        <w:t xml:space="preserve">Geographic Scope:</w:t>
      </w:r>
      <w:r>
        <w:t xml:space="preserve"> </w:t>
      </w:r>
      <w:r>
        <w:t xml:space="preserve">Final Production Country: China. Supply Chain Focus: Europe Focused (for downstream distribution and use phase assumptions).</w:t>
      </w:r>
    </w:p>
    <w:p>
      <w:pPr>
        <w:numPr>
          <w:ilvl w:val="0"/>
          <w:numId w:val="1001"/>
        </w:numPr>
        <w:pStyle w:val="Compact"/>
      </w:pPr>
      <w:r>
        <w:rPr>
          <w:bCs/>
          <w:b/>
        </w:rPr>
        <w:t xml:space="preserve">Accounting Standard:</w:t>
      </w:r>
      <w:r>
        <w:t xml:space="preserve"> </w:t>
      </w:r>
      <w:r>
        <w:t xml:space="preserve">GHG Protocol, including the 2026 updates. This ensures a globally recognized and consistent methodology for greenhouse gas accounting.</w:t>
      </w:r>
    </w:p>
    <w:p>
      <w:pPr>
        <w:numPr>
          <w:ilvl w:val="0"/>
          <w:numId w:val="1001"/>
        </w:numPr>
        <w:pStyle w:val="Compact"/>
      </w:pPr>
      <w:r>
        <w:rPr>
          <w:bCs/>
          <w:b/>
        </w:rPr>
        <w:t xml:space="preserve">Allocation:</w:t>
      </w:r>
      <w:r>
        <w:t xml:space="preserve"> </w:t>
      </w:r>
      <w:r>
        <w:t xml:space="preserve">Where shared processes or facilities exist, emissions have been allocated based on the mass or economic value relevant to the functional unit. For this specific product PCF, direct allocation to the \'delmwelezq\' unit has been applied for direct inputs.</w:t>
      </w:r>
    </w:p>
    <w:p>
      <w:r>
        <w:pict>
          <v:rect style="width:0;height:1.5pt" o:hralign="center" o:hrstd="t" o:hr="t"/>
        </w:pict>
      </w:r>
    </w:p>
    <w:bookmarkEnd w:id="22"/>
    <w:bookmarkStart w:id="28" w:name="mapping-the-lifecycle-3.-collecting-data"/>
    <w:p>
      <w:pPr>
        <w:pStyle w:val="Heading2"/>
      </w:pPr>
      <w:r>
        <w:t xml:space="preserve">2. Mapping the Lifecycle &amp; 3. Collecting Data</w:t>
      </w:r>
    </w:p>
    <w:p>
      <w:pPr>
        <w:pStyle w:val="FirstParagraph"/>
      </w:pPr>
      <w:r>
        <w:t xml:space="preserve">The lifecycle of delmwelezq was mapped across all relevant stages, and data was collected to quantify the inputs and outputs associated with each stage. The primary data points were derived from the provided parameters, supplemented with industry-standard emission factors from reputable sources like Ecoinvent and DEFRA where specific data was not provided.</w:t>
      </w:r>
    </w:p>
    <w:bookmarkStart w:id="23" w:name="Xe05d3122ff1389e9b32532ea80537b74e31fe94"/>
    <w:p>
      <w:pPr>
        <w:pStyle w:val="Heading3"/>
      </w:pPr>
      <w:r>
        <w:t xml:space="preserve">Detailed Bill of Materials (BOM) for delmwelezq (Upstream Materials - Scope 3, Category 1)</w:t>
      </w:r>
    </w:p>
    <w:p>
      <w:pPr>
        <w:pStyle w:val="FirstParagraph"/>
      </w:pPr>
      <w:r>
        <w:t xml:space="preserve">The detailed Bill of Materials (BOM) provides a high-accuracy basis for calculating the material impact. The \'Total Carbon (kg CO2e)\' figures provided in the BOM are directly used for material acquisition emissions, reflecting their cradle-to-gate impact.</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101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Primary Production</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3.50</w:t>
            </w:r>
          </w:p>
        </w:tc>
      </w:tr>
      <w:tr>
        <w:tc>
          <w:tcPr/>
          <w:p>
            <w:pPr>
              <w:pStyle w:val="Compact"/>
              <w:jc w:val="left"/>
            </w:pPr>
            <w:r>
              <w:t xml:space="preserve">102</w:t>
            </w:r>
          </w:p>
        </w:tc>
        <w:tc>
          <w:tcPr/>
          <w:p>
            <w:pPr>
              <w:pStyle w:val="Compact"/>
              <w:jc w:val="left"/>
            </w:pPr>
            <w:r>
              <w:t xml:space="preserve">ABS 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2.5</w:t>
            </w:r>
          </w:p>
        </w:tc>
        <w:tc>
          <w:tcPr/>
          <w:p>
            <w:pPr>
              <w:pStyle w:val="Compact"/>
              <w:jc w:val="left"/>
            </w:pPr>
            <w:r>
              <w:t xml:space="preserve">0.75</w:t>
            </w:r>
          </w:p>
        </w:tc>
      </w:tr>
      <w:tr>
        <w:tc>
          <w:tcPr/>
          <w:p>
            <w:pPr>
              <w:pStyle w:val="Compact"/>
              <w:jc w:val="left"/>
            </w:pPr>
            <w:r>
              <w:t xml:space="preserve">103</w:t>
            </w:r>
          </w:p>
        </w:tc>
        <w:tc>
          <w:tcPr/>
          <w:p>
            <w:pPr>
              <w:pStyle w:val="Compact"/>
              <w:jc w:val="left"/>
            </w:pPr>
            <w:r>
              <w:t xml:space="preserve">Lithium-ion Battery</w:t>
            </w:r>
          </w:p>
        </w:tc>
        <w:tc>
          <w:tcPr/>
          <w:p>
            <w:pPr>
              <w:pStyle w:val="Compact"/>
              <w:jc w:val="left"/>
            </w:pPr>
            <w:r>
              <w:t xml:space="preserve">Electronics</w:t>
            </w:r>
          </w:p>
        </w:tc>
        <w:tc>
          <w:tcPr/>
          <w:p>
            <w:pPr>
              <w:pStyle w:val="Compact"/>
              <w:jc w:val="left"/>
            </w:pPr>
            <w:r>
              <w:t xml:space="preserve">Battery Production</w:t>
            </w:r>
          </w:p>
        </w:tc>
        <w:tc>
          <w:tcPr/>
          <w:p>
            <w:pPr>
              <w:pStyle w:val="Compact"/>
              <w:jc w:val="left"/>
            </w:pPr>
            <w:r>
              <w:t xml:space="preserve">0.1</w:t>
            </w:r>
          </w:p>
        </w:tc>
        <w:tc>
          <w:tcPr/>
          <w:p>
            <w:pPr>
              <w:pStyle w:val="Compact"/>
              <w:jc w:val="left"/>
            </w:pPr>
            <w:r>
              <w:t xml:space="preserve">unit</w:t>
            </w:r>
          </w:p>
        </w:tc>
        <w:tc>
          <w:tcPr/>
          <w:p>
            <w:pPr>
              <w:pStyle w:val="Compact"/>
              <w:jc w:val="left"/>
            </w:pPr>
            <w:r>
              <w:t xml:space="preserve">20.0</w:t>
            </w:r>
          </w:p>
        </w:tc>
        <w:tc>
          <w:tcPr/>
          <w:p>
            <w:pPr>
              <w:pStyle w:val="Compact"/>
              <w:jc w:val="left"/>
            </w:pPr>
            <w:r>
              <w:t xml:space="preserve">2.00</w:t>
            </w:r>
          </w:p>
        </w:tc>
      </w:tr>
      <w:tr>
        <w:tc>
          <w:tcPr/>
          <w:p>
            <w:pPr>
              <w:pStyle w:val="Compact"/>
              <w:jc w:val="left"/>
            </w:pPr>
            <w:r>
              <w:t xml:space="preserve">104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0.02</w:t>
            </w:r>
          </w:p>
        </w:tc>
        <w:tc>
          <w:tcPr/>
          <w:p>
            <w:pPr>
              <w:pStyle w:val="Compact"/>
              <w:jc w:val="left"/>
            </w:pPr>
            <w:r>
              <w:t xml:space="preserve">kg</w:t>
            </w:r>
          </w:p>
        </w:tc>
        <w:tc>
          <w:tcPr/>
          <w:p>
            <w:pPr>
              <w:pStyle w:val="Compact"/>
              <w:jc w:val="left"/>
            </w:pPr>
            <w:r>
              <w:t xml:space="preserve">4.0</w:t>
            </w:r>
          </w:p>
        </w:tc>
        <w:tc>
          <w:tcPr/>
          <w:p>
            <w:pPr>
              <w:pStyle w:val="Compact"/>
              <w:jc w:val="left"/>
            </w:pPr>
            <w:r>
              <w:t xml:space="preserve">0.08</w:t>
            </w:r>
          </w:p>
        </w:tc>
      </w:tr>
      <w:tr>
        <w:tc>
          <w:tcPr/>
          <w:p>
            <w:pPr>
              <w:pStyle w:val="Compact"/>
              <w:jc w:val="left"/>
            </w:pPr>
            <w:r>
              <w:t xml:space="preserve">105</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unit</w:t>
            </w:r>
          </w:p>
        </w:tc>
        <w:tc>
          <w:tcPr/>
          <w:p>
            <w:pPr>
              <w:pStyle w:val="Compact"/>
              <w:jc w:val="left"/>
            </w:pPr>
            <w:r>
              <w:t xml:space="preserve">15.0</w:t>
            </w:r>
          </w:p>
        </w:tc>
        <w:tc>
          <w:tcPr/>
          <w:p>
            <w:pPr>
              <w:pStyle w:val="Compact"/>
              <w:jc w:val="left"/>
            </w:pPr>
            <w:r>
              <w:t xml:space="preserve">0.75</w:t>
            </w:r>
          </w:p>
        </w:tc>
      </w:tr>
      <w:tr>
        <w:tc>
          <w:tcPr/>
          <w:p>
            <w:pPr>
              <w:pStyle w:val="Compact"/>
              <w:jc w:val="left"/>
            </w:pPr>
            <w:r>
              <w:t xml:space="preserve">106</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Pulp &amp; Paper</w:t>
            </w:r>
          </w:p>
        </w:tc>
        <w:tc>
          <w:tcPr/>
          <w:p>
            <w:pPr>
              <w:pStyle w:val="Compact"/>
              <w:jc w:val="left"/>
            </w:pPr>
            <w:r>
              <w:t xml:space="preserve">0.1</w:t>
            </w:r>
          </w:p>
        </w:tc>
        <w:tc>
          <w:tcPr/>
          <w:p>
            <w:pPr>
              <w:pStyle w:val="Compact"/>
              <w:jc w:val="left"/>
            </w:pPr>
            <w:r>
              <w:t xml:space="preserve">kg</w:t>
            </w:r>
          </w:p>
        </w:tc>
        <w:tc>
          <w:tcPr/>
          <w:p>
            <w:pPr>
              <w:pStyle w:val="Compact"/>
              <w:jc w:val="left"/>
            </w:pPr>
            <w:r>
              <w:t xml:space="preserve">1.5</w:t>
            </w:r>
          </w:p>
        </w:tc>
        <w:tc>
          <w:tcPr/>
          <w:p>
            <w:pPr>
              <w:pStyle w:val="Compact"/>
              <w:jc w:val="left"/>
            </w:pPr>
            <w:r>
              <w:t xml:space="preserve">0.15</w:t>
            </w:r>
          </w:p>
        </w:tc>
      </w:tr>
      <w:tr>
        <w:tc>
          <w:tcPr>
            <w:gridSpan w:val="7"/>
          </w:tcPr>
          <w:p>
            <w:pPr>
              <w:pStyle w:val="Compact"/>
              <w:jc w:val="right"/>
            </w:pPr>
            <w:r>
              <w:rPr>
                <w:bCs/>
                <w:b/>
              </w:rPr>
              <w:t xml:space="preserve">Total Material Acquisition Emissions:</w:t>
            </w:r>
          </w:p>
        </w:tc>
        <w:tc>
          <w:tcPr/>
          <w:p>
            <w:pPr>
              <w:pStyle w:val="Compact"/>
              <w:jc w:val="left"/>
            </w:pPr>
            <w:r>
              <w:rPr>
                <w:bCs/>
                <w:b/>
              </w:rPr>
              <w:t xml:space="preserve">7.23 kg CO2e</w:t>
            </w:r>
          </w:p>
        </w:tc>
      </w:tr>
    </w:tbl>
    <w:bookmarkEnd w:id="23"/>
    <w:bookmarkStart w:id="24" w:name="Xefc0164903a404329fa13ef545280ba79f0aaf1"/>
    <w:p>
      <w:pPr>
        <w:pStyle w:val="Heading3"/>
      </w:pPr>
      <w:r>
        <w:t xml:space="preserve">Energy Inputs for Production (Scope 2, Category 3)</w:t>
      </w:r>
    </w:p>
    <w:p>
      <w:pPr>
        <w:numPr>
          <w:ilvl w:val="0"/>
          <w:numId w:val="1002"/>
        </w:numPr>
        <w:pStyle w:val="Compact"/>
      </w:pPr>
      <w:r>
        <w:rPr>
          <w:bCs/>
          <w:b/>
        </w:rPr>
        <w:t xml:space="preserve">Final Production Country:</w:t>
      </w:r>
      <w:r>
        <w:t xml:space="preserve"> </w:t>
      </w:r>
      <w:r>
        <w:t xml:space="preserve">China</w:t>
      </w:r>
    </w:p>
    <w:p>
      <w:pPr>
        <w:numPr>
          <w:ilvl w:val="0"/>
          <w:numId w:val="1002"/>
        </w:numPr>
        <w:pStyle w:val="Compact"/>
      </w:pPr>
      <w:r>
        <w:rPr>
          <w:bCs/>
          <w:b/>
        </w:rPr>
        <w:t xml:space="preserve">Energy Intensity:</w:t>
      </w:r>
      <w:r>
        <w:t xml:space="preserve"> </w:t>
      </w:r>
      <w:r>
        <w:t xml:space="preserve">5.0 kWh/unit</w:t>
      </w:r>
    </w:p>
    <w:p>
      <w:pPr>
        <w:numPr>
          <w:ilvl w:val="0"/>
          <w:numId w:val="1002"/>
        </w:numPr>
        <w:pStyle w:val="Compact"/>
      </w:pPr>
      <w:r>
        <w:rPr>
          <w:bCs/>
          <w:b/>
        </w:rPr>
        <w:t xml:space="preserve">Renewable Energy Usage:</w:t>
      </w:r>
      <w:r>
        <w:t xml:space="preserve"> </w:t>
      </w:r>
      <w:r>
        <w:t xml:space="preserve">60%. This indicates that 40% of the energy consumed for production is sourced from the conventional grid mix.</w:t>
      </w:r>
    </w:p>
    <w:p>
      <w:pPr>
        <w:numPr>
          <w:ilvl w:val="0"/>
          <w:numId w:val="1002"/>
        </w:numPr>
        <w:pStyle w:val="Compact"/>
      </w:pPr>
      <w:r>
        <w:rPr>
          <w:bCs/>
          <w:b/>
        </w:rPr>
        <w:t xml:space="preserve">Grid Emission Factor (China):</w:t>
      </w:r>
      <w:r>
        <w:t xml:space="preserve"> </w:t>
      </w:r>
      <w:r>
        <w:t xml:space="preserve">An average emission factor of 0.58 kg CO2e/kWh (Well-to-Wheel) has been used for the Chinese grid mix, reflecting an industry-accepted estimate for 2021-2022.</w:t>
      </w:r>
    </w:p>
    <w:bookmarkEnd w:id="24"/>
    <w:bookmarkStart w:id="25" w:name="logistics-data-scope-3-categories-4-9"/>
    <w:p>
      <w:pPr>
        <w:pStyle w:val="Heading3"/>
      </w:pPr>
      <w:r>
        <w:t xml:space="preserve">Logistics Data (Scope 3, Categories 4 &amp; 9)</w:t>
      </w:r>
    </w:p>
    <w:p>
      <w:pPr>
        <w:pStyle w:val="FirstParagraph"/>
      </w:pPr>
      <w:r>
        <w:t xml:space="preserve">The transport parameters are crucial for assessing supply chain impacts.</w:t>
      </w:r>
    </w:p>
    <w:p>
      <w:pPr>
        <w:numPr>
          <w:ilvl w:val="0"/>
          <w:numId w:val="1003"/>
        </w:numPr>
        <w:pStyle w:val="Compact"/>
      </w:pPr>
      <w:r>
        <w:rPr>
          <w:bCs/>
          <w:b/>
        </w:rPr>
        <w:t xml:space="preserve">Main Supply Chain Transport Mode:</w:t>
      </w:r>
      <w:r>
        <w:t xml:space="preserve"> </w:t>
      </w:r>
      <w:r>
        <w:t xml:space="preserve">Ocean Freight (for inbound materials or outbound finished product to distribution hubs).</w:t>
      </w:r>
    </w:p>
    <w:p>
      <w:pPr>
        <w:numPr>
          <w:ilvl w:val="0"/>
          <w:numId w:val="1003"/>
        </w:numPr>
        <w:pStyle w:val="Compact"/>
      </w:pPr>
      <w:r>
        <w:rPr>
          <w:bCs/>
          <w:b/>
        </w:rPr>
        <w:t xml:space="preserve">Main Supply Chain Transport Distance:</w:t>
      </w:r>
      <w:r>
        <w:t xml:space="preserve"> </w:t>
      </w:r>
      <w:r>
        <w:t xml:space="preserve">12000 km.</w:t>
      </w:r>
    </w:p>
    <w:p>
      <w:pPr>
        <w:numPr>
          <w:ilvl w:val="0"/>
          <w:numId w:val="1003"/>
        </w:numPr>
        <w:pStyle w:val="Compact"/>
      </w:pPr>
      <w:r>
        <w:rPr>
          <w:bCs/>
          <w:b/>
        </w:rPr>
        <w:t xml:space="preserve">Last-Mile Delivery Channel:</w:t>
      </w:r>
      <w:r>
        <w:t xml:space="preserve"> </w:t>
      </w:r>
      <w:r>
        <w:t xml:space="preserve">Direct-to-Consumer via LTL (Less-than-Truckload) Road Freight.</w:t>
      </w:r>
    </w:p>
    <w:p>
      <w:pPr>
        <w:numPr>
          <w:ilvl w:val="0"/>
          <w:numId w:val="1003"/>
        </w:numPr>
        <w:pStyle w:val="Compact"/>
      </w:pPr>
      <w:r>
        <w:rPr>
          <w:bCs/>
          <w:b/>
        </w:rPr>
        <w:t xml:space="preserve">Last-Mile Transport Distance:</w:t>
      </w:r>
      <w:r>
        <w:t xml:space="preserve"> </w:t>
      </w:r>
      <w:r>
        <w:t xml:space="preserve">500 km.</w:t>
      </w:r>
    </w:p>
    <w:p>
      <w:pPr>
        <w:numPr>
          <w:ilvl w:val="0"/>
          <w:numId w:val="1003"/>
        </w:numPr>
        <w:pStyle w:val="Compact"/>
      </w:pPr>
      <w:r>
        <w:rPr>
          <w:bCs/>
          <w:b/>
        </w:rPr>
        <w:t xml:space="preserve">Product Weight for Transport:</w:t>
      </w:r>
      <w:r>
        <w:t xml:space="preserve"> </w:t>
      </w:r>
      <w:r>
        <w:t xml:space="preserve">An estimated 1.2 kg per unit (inclusive of packaging and slight weight increase from assembly).</w:t>
      </w:r>
    </w:p>
    <w:p>
      <w:pPr>
        <w:numPr>
          <w:ilvl w:val="0"/>
          <w:numId w:val="1003"/>
        </w:numPr>
        <w:pStyle w:val="Compact"/>
      </w:pPr>
      <w:r>
        <w:rPr>
          <w:bCs/>
          <w:b/>
        </w:rPr>
        <w:t xml:space="preserve">Emission Factor (Ocean Freight):</w:t>
      </w:r>
      <w:r>
        <w:t xml:space="preserve"> </w:t>
      </w:r>
      <w:r>
        <w:t xml:space="preserve">0.016 kg CO2e/tonne-km.</w:t>
      </w:r>
    </w:p>
    <w:p>
      <w:pPr>
        <w:numPr>
          <w:ilvl w:val="0"/>
          <w:numId w:val="1003"/>
        </w:numPr>
        <w:pStyle w:val="Compact"/>
      </w:pPr>
      <w:r>
        <w:rPr>
          <w:bCs/>
          <w:b/>
        </w:rPr>
        <w:t xml:space="preserve">Emission Factor (Road Freight - HGV):</w:t>
      </w:r>
      <w:r>
        <w:t xml:space="preserve"> </w:t>
      </w:r>
      <w:r>
        <w:t xml:space="preserve">0.08 kg CO2e/tonne-km.</w:t>
      </w:r>
    </w:p>
    <w:bookmarkEnd w:id="25"/>
    <w:bookmarkStart w:id="26" w:name="use-phase-data-scope-3-category-11"/>
    <w:p>
      <w:pPr>
        <w:pStyle w:val="Heading3"/>
      </w:pPr>
      <w:r>
        <w:t xml:space="preserve">Use Phase Data (Scope 3, Category 11)</w:t>
      </w:r>
    </w:p>
    <w:p>
      <w:pPr>
        <w:numPr>
          <w:ilvl w:val="0"/>
          <w:numId w:val="1004"/>
        </w:numPr>
        <w:pStyle w:val="Compact"/>
      </w:pPr>
      <w:r>
        <w:rPr>
          <w:bCs/>
          <w:b/>
        </w:rPr>
        <w:t xml:space="preserve">Product Lifespan:</w:t>
      </w:r>
      <w:r>
        <w:t xml:space="preserve"> </w:t>
      </w:r>
      <w:r>
        <w:t xml:space="preserve">3 years.</w:t>
      </w:r>
    </w:p>
    <w:p>
      <w:pPr>
        <w:numPr>
          <w:ilvl w:val="0"/>
          <w:numId w:val="1004"/>
        </w:numPr>
        <w:pStyle w:val="Compact"/>
      </w:pPr>
      <w:r>
        <w:rPr>
          <w:bCs/>
          <w:b/>
        </w:rPr>
        <w:t xml:space="preserve">Energy Consumption in Use:</w:t>
      </w:r>
      <w:r>
        <w:t xml:space="preserve"> </w:t>
      </w:r>
      <w:r>
        <w:t xml:space="preserve">10 kWh/year.</w:t>
      </w:r>
    </w:p>
    <w:p>
      <w:pPr>
        <w:numPr>
          <w:ilvl w:val="0"/>
          <w:numId w:val="1004"/>
        </w:numPr>
        <w:pStyle w:val="Compact"/>
      </w:pPr>
      <w:r>
        <w:rPr>
          <w:bCs/>
          <w:b/>
        </w:rPr>
        <w:t xml:space="preserve">Energy Emission Factor (Use Phase):</w:t>
      </w:r>
      <w:r>
        <w:t xml:space="preserve"> </w:t>
      </w:r>
      <w:r>
        <w:t xml:space="preserve">Assuming an average European grid mix for the user\'s location (given "Europe Focused" supply chain focus), an emission factor of 0.25 kg CO2e/kWh is applied for the energy consumed during the product\'s lifespan.</w:t>
      </w:r>
    </w:p>
    <w:bookmarkEnd w:id="26"/>
    <w:bookmarkStart w:id="27" w:name="X3261202975bfccb1283f2bd5fabef2dfdbe9c90"/>
    <w:p>
      <w:pPr>
        <w:pStyle w:val="Heading3"/>
      </w:pPr>
      <w:r>
        <w:t xml:space="preserve">End-of-Life (EoL) Scenarios (Scope 3, Category 12)</w:t>
      </w:r>
    </w:p>
    <w:p>
      <w:pPr>
        <w:numPr>
          <w:ilvl w:val="0"/>
          <w:numId w:val="1005"/>
        </w:numPr>
        <w:pStyle w:val="Compact"/>
      </w:pPr>
      <w:r>
        <w:rPr>
          <w:bCs/>
          <w:b/>
        </w:rPr>
        <w:t xml:space="preserve">Recyclability Percentage:</w:t>
      </w:r>
      <w:r>
        <w:t xml:space="preserve"> </w:t>
      </w:r>
      <w:r>
        <w:t xml:space="preserve">75% of the product\'s material weight.</w:t>
      </w:r>
    </w:p>
    <w:p>
      <w:pPr>
        <w:numPr>
          <w:ilvl w:val="0"/>
          <w:numId w:val="1005"/>
        </w:numPr>
        <w:pStyle w:val="Compact"/>
      </w:pPr>
      <w:r>
        <w:rPr>
          <w:bCs/>
          <w:b/>
        </w:rPr>
        <w:t xml:space="preserve">Circular/Take-back Programs:</w:t>
      </w:r>
      <w:r>
        <w:t xml:space="preserve"> </w:t>
      </w:r>
      <w:r>
        <w:t xml:space="preserve">Yes, a product take-back and refurbishment program is active in the EU. This positively influences the EoL impact.</w:t>
      </w:r>
    </w:p>
    <w:p>
      <w:pPr>
        <w:numPr>
          <w:ilvl w:val="0"/>
          <w:numId w:val="1005"/>
        </w:numPr>
        <w:pStyle w:val="Compact"/>
      </w:pPr>
      <w:r>
        <w:rPr>
          <w:bCs/>
          <w:b/>
        </w:rPr>
        <w:t xml:space="preserve">EoL Emission Factors/Credits:</w:t>
      </w:r>
      <w:r>
        <w:t xml:space="preserve"> </w:t>
      </w:r>
      <w:r>
        <w:t xml:space="preserve">Emissions for the non-recycled portion and processing for recycling are considered, alongside a significant credit for avoided virgin material production due to recycling.</w:t>
      </w:r>
    </w:p>
    <w:p>
      <w:r>
        <w:pict>
          <v:rect style="width:0;height:1.5pt" o:hralign="center" o:hrstd="t" o:hr="t"/>
        </w:pict>
      </w:r>
    </w:p>
    <w:bookmarkEnd w:id="27"/>
    <w:bookmarkEnd w:id="28"/>
    <w:bookmarkStart w:id="34" w:name="Xcf4bced75993ce8864e7ebadf1d87d0640174e9"/>
    <w:p>
      <w:pPr>
        <w:pStyle w:val="Heading2"/>
      </w:pPr>
      <w:r>
        <w:t xml:space="preserve">4. Calculation of Emissions (GHG Protocol Scopes)</w:t>
      </w:r>
    </w:p>
    <w:p>
      <w:pPr>
        <w:pStyle w:val="FirstParagraph"/>
      </w:pPr>
      <w:r>
        <w:t xml:space="preserve">Emissions are calculated based on the activity data multiplied by appropriate emission factors (Activity Data × Emission Factor = CO2e). The results are categorized according to the GHG Protocol\'s Scope 1, Scope 2, and Scope 3 definitions. Where specific emission factors were not provided in the parameters, industry-standard values from Ecoinvent and DEFRA databases were utilized as general guidance for this analysis.</w:t>
      </w:r>
    </w:p>
    <w:bookmarkStart w:id="29" w:name="X4cfc9d183507f1825c193a3713b371d5be80723"/>
    <w:p>
      <w:pPr>
        <w:pStyle w:val="Heading3"/>
      </w:pPr>
      <w:r>
        <w:t xml:space="preserve">Total Product Weight for Transport: ~1.2 kg</w:t>
      </w:r>
    </w:p>
    <w:bookmarkEnd w:id="29"/>
    <w:bookmarkStart w:id="30" w:name="scope-1-direct-ghg-emissions"/>
    <w:p>
      <w:pPr>
        <w:pStyle w:val="Heading3"/>
      </w:pPr>
      <w:r>
        <w:t xml:space="preserve">Scope 1: Direct GHG Emissions</w:t>
      </w:r>
    </w:p>
    <w:p>
      <w:pPr>
        <w:pStyle w:val="FirstParagraph"/>
      </w:pPr>
      <w:r>
        <w:t xml:space="preserve">These are direct emissions from sources owned or controlled by nlisdvkylg.</w:t>
      </w:r>
    </w:p>
    <w:p>
      <w:pPr>
        <w:numPr>
          <w:ilvl w:val="0"/>
          <w:numId w:val="1006"/>
        </w:numPr>
        <w:pStyle w:val="Compact"/>
      </w:pPr>
      <w:r>
        <w:rPr>
          <w:bCs/>
          <w:b/>
        </w:rPr>
        <w:t xml:space="preserve">Analysis:</w:t>
      </w:r>
      <w:r>
        <w:t xml:space="preserve"> </w:t>
      </w:r>
      <w:r>
        <w:t xml:space="preserve">No direct fuel combustion or owned/controlled emissions at the factory gate beyond purchased electricity were specified for the functional unit. Therefore, Scope 1 emissions are assumed to be negligible for this product-level analysis.</w:t>
      </w:r>
    </w:p>
    <w:p>
      <w:pPr>
        <w:numPr>
          <w:ilvl w:val="0"/>
          <w:numId w:val="1006"/>
        </w:numPr>
        <w:pStyle w:val="Compact"/>
      </w:pPr>
      <w:r>
        <w:rPr>
          <w:bCs/>
          <w:b/>
        </w:rPr>
        <w:t xml:space="preserve">Emissions:</w:t>
      </w:r>
      <w:r>
        <w:t xml:space="preserve"> </w:t>
      </w:r>
      <w:r>
        <w:t xml:space="preserve">0.00 kg CO2e</w:t>
      </w:r>
    </w:p>
    <w:bookmarkEnd w:id="30"/>
    <w:bookmarkStart w:id="31" w:name="scope-2-energy-indirect-ghg-emissions"/>
    <w:p>
      <w:pPr>
        <w:pStyle w:val="Heading3"/>
      </w:pPr>
      <w:r>
        <w:t xml:space="preserve">Scope 2: Energy Indirect GHG Emissions</w:t>
      </w:r>
    </w:p>
    <w:p>
      <w:pPr>
        <w:pStyle w:val="FirstParagraph"/>
      </w:pPr>
      <w:r>
        <w:t xml:space="preserve">These are emissions from the generation of purchased electricity consumed by nlisdvkylg.</w:t>
      </w:r>
    </w:p>
    <w:p>
      <w:pPr>
        <w:numPr>
          <w:ilvl w:val="0"/>
          <w:numId w:val="1007"/>
        </w:numPr>
        <w:pStyle w:val="Compact"/>
      </w:pPr>
      <w:r>
        <w:rPr>
          <w:bCs/>
          <w:b/>
        </w:rPr>
        <w:t xml:space="preserve">Purchased Electricity for Manufacturing (China):</w:t>
      </w:r>
    </w:p>
    <w:p>
      <w:pPr>
        <w:numPr>
          <w:ilvl w:val="1"/>
          <w:numId w:val="1008"/>
        </w:numPr>
        <w:pStyle w:val="Compact"/>
      </w:pPr>
      <w:r>
        <w:t xml:space="preserve">Energy Consumption: 5.0 kWh/unit</w:t>
      </w:r>
    </w:p>
    <w:p>
      <w:pPr>
        <w:numPr>
          <w:ilvl w:val="1"/>
          <w:numId w:val="1008"/>
        </w:numPr>
        <w:pStyle w:val="Compact"/>
      </w:pPr>
      <w:r>
        <w:t xml:space="preserve">Grid Electricity Portion: 5.0 kWh/unit * (1 - 60% renewable usage) = 2.0 kWh/unit</w:t>
      </w:r>
    </w:p>
    <w:p>
      <w:pPr>
        <w:numPr>
          <w:ilvl w:val="1"/>
          <w:numId w:val="1008"/>
        </w:numPr>
        <w:pStyle w:val="Compact"/>
      </w:pPr>
      <w:r>
        <w:t xml:space="preserve">Emission Factor (China Grid Mix): 0.58 kg CO2e/kWh</w:t>
      </w:r>
    </w:p>
    <w:p>
      <w:pPr>
        <w:numPr>
          <w:ilvl w:val="1"/>
          <w:numId w:val="1008"/>
        </w:numPr>
        <w:pStyle w:val="Compact"/>
      </w:pPr>
      <w:r>
        <w:rPr>
          <w:bCs/>
          <w:b/>
        </w:rPr>
        <w:t xml:space="preserve">Emissions:</w:t>
      </w:r>
      <w:r>
        <w:t xml:space="preserve"> </w:t>
      </w:r>
      <w:r>
        <w:t xml:space="preserve">2.0 kWh/unit * 0.58 kg CO2e/kWh = 1.16 kg CO2e</w:t>
      </w:r>
    </w:p>
    <w:p>
      <w:pPr>
        <w:pStyle w:val="FirstParagraph"/>
      </w:pPr>
      <w:r>
        <w:rPr>
          <w:bCs/>
          <w:b/>
        </w:rPr>
        <w:t xml:space="preserve">Total Scope 2 Emissions: 1.16 kg CO2e</w:t>
      </w:r>
    </w:p>
    <w:bookmarkEnd w:id="31"/>
    <w:bookmarkStart w:id="32" w:name="X87297756d726aa51a7f4c6b0bd300fdfb4bdf9a"/>
    <w:p>
      <w:pPr>
        <w:pStyle w:val="Heading3"/>
      </w:pPr>
      <w:r>
        <w:t xml:space="preserve">Scope 3: Other Indirect GHG Emissions (Value Chain)</w:t>
      </w:r>
    </w:p>
    <w:p>
      <w:pPr>
        <w:pStyle w:val="FirstParagraph"/>
      </w:pPr>
      <w:r>
        <w:t xml:space="preserve">These are emissions that occur from sources not owned or controlled by nlisdvkylg but are related to its operations. This analysis aims for at least 95% coverage as per 2026 requirements.</w:t>
      </w:r>
    </w:p>
    <w:p>
      <w:pPr>
        <w:numPr>
          <w:ilvl w:val="0"/>
          <w:numId w:val="1009"/>
        </w:numPr>
        <w:pStyle w:val="Compact"/>
      </w:pPr>
      <w:r>
        <w:rPr>
          <w:bCs/>
          <w:b/>
        </w:rPr>
        <w:t xml:space="preserve">Category 1: Purchased Goods and Services (Materials Acquisition)</w:t>
      </w:r>
    </w:p>
    <w:p>
      <w:pPr>
        <w:numPr>
          <w:ilvl w:val="1"/>
          <w:numId w:val="1010"/>
        </w:numPr>
        <w:pStyle w:val="Compact"/>
      </w:pPr>
      <w:r>
        <w:t xml:space="preserve">Total emissions directly from the Detailed Bill of Materials.</w:t>
      </w:r>
    </w:p>
    <w:p>
      <w:pPr>
        <w:numPr>
          <w:ilvl w:val="1"/>
          <w:numId w:val="1010"/>
        </w:numPr>
        <w:pStyle w:val="Compact"/>
      </w:pPr>
      <w:r>
        <w:rPr>
          <w:bCs/>
          <w:b/>
        </w:rPr>
        <w:t xml:space="preserve">Emissions:</w:t>
      </w:r>
      <w:r>
        <w:t xml:space="preserve"> </w:t>
      </w:r>
      <w:r>
        <w:t xml:space="preserve">7.23 kg CO2e</w:t>
      </w:r>
    </w:p>
    <w:p>
      <w:pPr>
        <w:numPr>
          <w:ilvl w:val="0"/>
          <w:numId w:val="1009"/>
        </w:numPr>
        <w:pStyle w:val="Compact"/>
      </w:pPr>
      <w:r>
        <w:rPr>
          <w:bCs/>
          <w:b/>
        </w:rPr>
        <w:t xml:space="preserve">Category 4: Upstream Transportation and Distribution (Main Supply Chain)</w:t>
      </w:r>
    </w:p>
    <w:p>
      <w:pPr>
        <w:numPr>
          <w:ilvl w:val="1"/>
          <w:numId w:val="1011"/>
        </w:numPr>
        <w:pStyle w:val="Compact"/>
      </w:pPr>
      <w:r>
        <w:t xml:space="preserve">Transport Mode: Ocean Freight</w:t>
      </w:r>
    </w:p>
    <w:p>
      <w:pPr>
        <w:numPr>
          <w:ilvl w:val="1"/>
          <w:numId w:val="1011"/>
        </w:numPr>
        <w:pStyle w:val="Compact"/>
      </w:pPr>
      <w:r>
        <w:t xml:space="preserve">Distance: 12000 km</w:t>
      </w:r>
    </w:p>
    <w:p>
      <w:pPr>
        <w:numPr>
          <w:ilvl w:val="1"/>
          <w:numId w:val="1011"/>
        </w:numPr>
        <w:pStyle w:val="Compact"/>
      </w:pPr>
      <w:r>
        <w:t xml:space="preserve">Product Weight: 1.2 kg</w:t>
      </w:r>
    </w:p>
    <w:p>
      <w:pPr>
        <w:numPr>
          <w:ilvl w:val="1"/>
          <w:numId w:val="1011"/>
        </w:numPr>
        <w:pStyle w:val="Compact"/>
      </w:pPr>
      <w:r>
        <w:t xml:space="preserve">Emission Factor: 0.000016 kg CO2e/kg-km (0.016 kg CO2e/tonne-km)</w:t>
      </w:r>
    </w:p>
    <w:p>
      <w:pPr>
        <w:numPr>
          <w:ilvl w:val="1"/>
          <w:numId w:val="1011"/>
        </w:numPr>
        <w:pStyle w:val="Compact"/>
      </w:pPr>
      <w:r>
        <w:rPr>
          <w:bCs/>
          <w:b/>
        </w:rPr>
        <w:t xml:space="preserve">Emissions:</w:t>
      </w:r>
      <w:r>
        <w:t xml:space="preserve"> </w:t>
      </w:r>
      <w:r>
        <w:t xml:space="preserve">1.2 kg * 12000 km * 0.000016 kg CO2e/kg-km = 0.2304 kg CO2e</w:t>
      </w:r>
    </w:p>
    <w:p>
      <w:pPr>
        <w:numPr>
          <w:ilvl w:val="0"/>
          <w:numId w:val="1009"/>
        </w:numPr>
        <w:pStyle w:val="Compact"/>
      </w:pPr>
      <w:r>
        <w:rPr>
          <w:bCs/>
          <w:b/>
        </w:rPr>
        <w:t xml:space="preserve">Category 9: Downstream Transportation and Distribution (Last-Mile Delivery)</w:t>
      </w:r>
    </w:p>
    <w:p>
      <w:pPr>
        <w:numPr>
          <w:ilvl w:val="1"/>
          <w:numId w:val="1012"/>
        </w:numPr>
        <w:pStyle w:val="Compact"/>
      </w:pPr>
      <w:r>
        <w:t xml:space="preserve">Transport Mode: Road Freight (HGV)</w:t>
      </w:r>
    </w:p>
    <w:p>
      <w:pPr>
        <w:numPr>
          <w:ilvl w:val="1"/>
          <w:numId w:val="1012"/>
        </w:numPr>
        <w:pStyle w:val="Compact"/>
      </w:pPr>
      <w:r>
        <w:t xml:space="preserve">Distance: 500 km</w:t>
      </w:r>
    </w:p>
    <w:p>
      <w:pPr>
        <w:numPr>
          <w:ilvl w:val="1"/>
          <w:numId w:val="1012"/>
        </w:numPr>
        <w:pStyle w:val="Compact"/>
      </w:pPr>
      <w:r>
        <w:t xml:space="preserve">Product Weight: 1.2 kg</w:t>
      </w:r>
    </w:p>
    <w:p>
      <w:pPr>
        <w:numPr>
          <w:ilvl w:val="1"/>
          <w:numId w:val="1012"/>
        </w:numPr>
        <w:pStyle w:val="Compact"/>
      </w:pPr>
      <w:r>
        <w:t xml:space="preserve">Emission Factor: 0.00008 kg CO2e/kg-km (0.08 kg CO2e/tonne-km)</w:t>
      </w:r>
    </w:p>
    <w:p>
      <w:pPr>
        <w:numPr>
          <w:ilvl w:val="1"/>
          <w:numId w:val="1012"/>
        </w:numPr>
        <w:pStyle w:val="Compact"/>
      </w:pPr>
      <w:r>
        <w:rPr>
          <w:bCs/>
          <w:b/>
        </w:rPr>
        <w:t xml:space="preserve">Emissions:</w:t>
      </w:r>
      <w:r>
        <w:t xml:space="preserve"> </w:t>
      </w:r>
      <w:r>
        <w:t xml:space="preserve">1.2 kg * 500 km * 0.00008 kg CO2e/kg-km = 0.048 kg CO2e</w:t>
      </w:r>
    </w:p>
    <w:p>
      <w:pPr>
        <w:numPr>
          <w:ilvl w:val="0"/>
          <w:numId w:val="1009"/>
        </w:numPr>
        <w:pStyle w:val="Compact"/>
      </w:pPr>
      <w:r>
        <w:rPr>
          <w:bCs/>
          <w:b/>
        </w:rPr>
        <w:t xml:space="preserve">Category 11: Use of Sold Products</w:t>
      </w:r>
    </w:p>
    <w:p>
      <w:pPr>
        <w:numPr>
          <w:ilvl w:val="1"/>
          <w:numId w:val="1013"/>
        </w:numPr>
        <w:pStyle w:val="Compact"/>
      </w:pPr>
      <w:r>
        <w:t xml:space="preserve">Product Lifespan: 3 years</w:t>
      </w:r>
    </w:p>
    <w:p>
      <w:pPr>
        <w:numPr>
          <w:ilvl w:val="1"/>
          <w:numId w:val="1013"/>
        </w:numPr>
        <w:pStyle w:val="Compact"/>
      </w:pPr>
      <w:r>
        <w:t xml:space="preserve">Annual Energy Consumption: 10 kWh/year</w:t>
      </w:r>
    </w:p>
    <w:p>
      <w:pPr>
        <w:numPr>
          <w:ilvl w:val="1"/>
          <w:numId w:val="1013"/>
        </w:numPr>
        <w:pStyle w:val="Compact"/>
      </w:pPr>
      <w:r>
        <w:t xml:space="preserve">Energy Emission Factor (EU Average): 0.25 kg CO2e/kWh</w:t>
      </w:r>
    </w:p>
    <w:p>
      <w:pPr>
        <w:numPr>
          <w:ilvl w:val="1"/>
          <w:numId w:val="1013"/>
        </w:numPr>
        <w:pStyle w:val="Compact"/>
      </w:pPr>
      <w:r>
        <w:rPr>
          <w:bCs/>
          <w:b/>
        </w:rPr>
        <w:t xml:space="preserve">Emissions:</w:t>
      </w:r>
      <w:r>
        <w:t xml:space="preserve"> </w:t>
      </w:r>
      <w:r>
        <w:t xml:space="preserve">10 kWh/year * 3 years * 0.25 kg CO2e/kWh = 7.50 kg CO2e</w:t>
      </w:r>
    </w:p>
    <w:p>
      <w:pPr>
        <w:numPr>
          <w:ilvl w:val="0"/>
          <w:numId w:val="1009"/>
        </w:numPr>
        <w:pStyle w:val="Compact"/>
      </w:pPr>
      <w:r>
        <w:rPr>
          <w:bCs/>
          <w:b/>
        </w:rPr>
        <w:t xml:space="preserve">Category 12: End-of-Life Treatment of Sold Products</w:t>
      </w:r>
    </w:p>
    <w:p>
      <w:pPr>
        <w:numPr>
          <w:ilvl w:val="1"/>
          <w:numId w:val="1014"/>
        </w:numPr>
        <w:pStyle w:val="Compact"/>
      </w:pPr>
      <w:r>
        <w:t xml:space="preserve">Total Material Weight (from BOM): 1.07 kg</w:t>
      </w:r>
    </w:p>
    <w:p>
      <w:pPr>
        <w:numPr>
          <w:ilvl w:val="1"/>
          <w:numId w:val="1014"/>
        </w:numPr>
        <w:pStyle w:val="Compact"/>
      </w:pPr>
      <w:r>
        <w:t xml:space="preserve">Recyclability: 75%</w:t>
      </w:r>
    </w:p>
    <w:p>
      <w:pPr>
        <w:numPr>
          <w:ilvl w:val="1"/>
          <w:numId w:val="1014"/>
        </w:numPr>
        <w:pStyle w:val="Compact"/>
      </w:pPr>
      <w:r>
        <w:t xml:space="preserve">Non-recycled portion (25%): 0.2675 kg</w:t>
      </w:r>
    </w:p>
    <w:p>
      <w:pPr>
        <w:numPr>
          <w:ilvl w:val="1"/>
          <w:numId w:val="1014"/>
        </w:numPr>
        <w:pStyle w:val="Compact"/>
      </w:pPr>
      <w:r>
        <w:t xml:space="preserve">Emissions from non-recycled portion (landfill/incineration, estimated EF ~2 kg CO2e/kg): 0.2675 kg * 2 kg CO2e/kg = 0.535 kg CO2e</w:t>
      </w:r>
    </w:p>
    <w:p>
      <w:pPr>
        <w:numPr>
          <w:ilvl w:val="1"/>
          <w:numId w:val="1014"/>
        </w:numPr>
        <w:pStyle w:val="Compact"/>
      </w:pPr>
      <w:r>
        <w:t xml:space="preserve">Recycled portion (75%): 0.8025 kg</w:t>
      </w:r>
    </w:p>
    <w:p>
      <w:pPr>
        <w:numPr>
          <w:ilvl w:val="1"/>
          <w:numId w:val="1014"/>
        </w:numPr>
        <w:pStyle w:val="Compact"/>
      </w:pPr>
      <w:r>
        <w:t xml:space="preserve">Emissions from recycling process (estimated EF ~0.5 kg CO2e/kg for processing): 0.8025 kg * 0.5 kg CO2e/kg = 0.40125 kg CO2e</w:t>
      </w:r>
    </w:p>
    <w:p>
      <w:pPr>
        <w:numPr>
          <w:ilvl w:val="1"/>
          <w:numId w:val="1014"/>
        </w:numPr>
        <w:pStyle w:val="Compact"/>
      </w:pPr>
      <w:r>
        <w:t xml:space="preserve">Avoided Virgin Material Credit (70% of recycled material emissions from BOM, 75% of 7.23 kg CO2e): - (0.75 * 7.23 kg CO2e * 0.70) = -3.79575 kg CO2e</w:t>
      </w:r>
    </w:p>
    <w:p>
      <w:pPr>
        <w:numPr>
          <w:ilvl w:val="1"/>
          <w:numId w:val="1014"/>
        </w:numPr>
        <w:pStyle w:val="Compact"/>
      </w:pPr>
      <w:r>
        <w:rPr>
          <w:bCs/>
          <w:b/>
        </w:rPr>
        <w:t xml:space="preserve">Net Emissions:</w:t>
      </w:r>
      <w:r>
        <w:t xml:space="preserve"> </w:t>
      </w:r>
      <w:r>
        <w:t xml:space="preserve">0.535 kg + 0.40125 kg - 3.79575 kg = -2.8595 kg CO2e (Net Credit)</w:t>
      </w:r>
    </w:p>
    <w:p>
      <w:pPr>
        <w:pStyle w:val="FirstParagraph"/>
      </w:pPr>
      <w:r>
        <w:rPr>
          <w:bCs/>
          <w:b/>
        </w:rPr>
        <w:t xml:space="preserve">Total Scope 3 Emissions: 7.23 + 0.2304 + 0.048 + 7.50 - 2.8595 = 12.1489 kg CO2e</w:t>
      </w:r>
    </w:p>
    <w:bookmarkEnd w:id="32"/>
    <w:bookmarkStart w:id="33" w:name="Xe7b968fc7ffad38925b2ba8c6971da7d172f7e1"/>
    <w:p>
      <w:pPr>
        <w:pStyle w:val="Heading3"/>
      </w:pPr>
      <w:r>
        <w:t xml:space="preserve">Summary of Product Carbon Footprint (PCF) for delmwelezq</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Category</w:t>
            </w:r>
          </w:p>
        </w:tc>
        <w:tc>
          <w:tcPr/>
          <w:p>
            <w:pPr>
              <w:pStyle w:val="Compact"/>
              <w:jc w:val="left"/>
            </w:pPr>
            <w:r>
              <w:t xml:space="preserve">Emissions (kg CO2e)</w:t>
            </w:r>
          </w:p>
        </w:tc>
      </w:tr>
      <w:tr>
        <w:tc>
          <w:tcPr/>
          <w:p>
            <w:pPr>
              <w:pStyle w:val="Compact"/>
              <w:jc w:val="left"/>
            </w:pPr>
            <w:r>
              <w:t xml:space="preserve">Scope 1</w:t>
            </w:r>
          </w:p>
        </w:tc>
        <w:tc>
          <w:tcPr/>
          <w:p>
            <w:pPr>
              <w:pStyle w:val="Compact"/>
              <w:jc w:val="left"/>
            </w:pPr>
            <w:r>
              <w:t xml:space="preserve">Direct Emissions (e.g., owned facilities)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(Manufacturing)</w:t>
            </w:r>
          </w:p>
        </w:tc>
        <w:tc>
          <w:tcPr/>
          <w:p>
            <w:pPr>
              <w:pStyle w:val="Compact"/>
              <w:jc w:val="left"/>
            </w:pPr>
            <w:r>
              <w:t xml:space="preserve">1.16</w:t>
            </w:r>
          </w:p>
        </w:tc>
      </w:tr>
      <w:tr>
        <w:tc>
          <w:tcPr>
            <w:vMerge w:val="restart"/>
          </w:tcPr>
          <w:p>
            <w:pPr>
              <w:pStyle w:val="Compact"/>
              <w:jc w:val="left"/>
            </w:pPr>
            <w:r>
              <w:t xml:space="preserve">Scope 3</w:t>
            </w:r>
          </w:p>
        </w:tc>
        <w:tc>
          <w:tcPr/>
          <w:p>
            <w:pPr>
              <w:pStyle w:val="Compact"/>
              <w:jc w:val="left"/>
            </w:pPr>
            <w:r>
              <w:t xml:space="preserve">Category 1: Purchased Goods and Services (Materials)</w:t>
            </w:r>
          </w:p>
        </w:tc>
        <w:tc>
          <w:tcPr/>
          <w:p>
            <w:pPr>
              <w:pStyle w:val="Compact"/>
              <w:jc w:val="left"/>
            </w:pPr>
            <w:r>
              <w:t xml:space="preserve">7.23</w:t>
            </w:r>
          </w:p>
        </w:tc>
      </w:tr>
      <w:tr>
        <w:tc>
          <w:tcPr>
            <w:gridSpan w:val="1"/>
            <w:vMerge w:val="continue"/>
          </w:tcPr>
          <w:p>
            <w:pPr/>
          </w:p>
        </w:tc>
        <w:tc>
          <w:tcPr/>
          <w:p>
            <w:pPr>
              <w:pStyle w:val="Compact"/>
              <w:jc w:val="left"/>
            </w:pPr>
            <w:r>
              <w:t xml:space="preserve">Category 4: Upstream Transportation and Distribution</w:t>
            </w:r>
          </w:p>
        </w:tc>
        <w:tc>
          <w:tcPr/>
          <w:p>
            <w:pPr>
              <w:pStyle w:val="Compact"/>
              <w:jc w:val="left"/>
            </w:pPr>
            <w:r>
              <w:t xml:space="preserve">0.23</w:t>
            </w:r>
          </w:p>
        </w:tc>
      </w:tr>
      <w:tr>
        <w:tc>
          <w:tcPr>
            <w:gridSpan w:val="1"/>
            <w:vMerge w:val="continue"/>
          </w:tcPr>
          <w:p>
            <w:pPr/>
          </w:p>
        </w:tc>
        <w:tc>
          <w:tcPr/>
          <w:p>
            <w:pPr>
              <w:pStyle w:val="Compact"/>
              <w:jc w:val="left"/>
            </w:pPr>
            <w:r>
              <w:t xml:space="preserve">Category 9: Downstream Transportation and Distribution (Last-Mile)</w:t>
            </w:r>
          </w:p>
        </w:tc>
        <w:tc>
          <w:tcPr/>
          <w:p>
            <w:pPr>
              <w:pStyle w:val="Compact"/>
              <w:jc w:val="left"/>
            </w:pPr>
            <w:r>
              <w:t xml:space="preserve">0.05</w:t>
            </w:r>
          </w:p>
        </w:tc>
      </w:tr>
      <w:tr>
        <w:tc>
          <w:tcPr>
            <w:gridSpan w:val="1"/>
            <w:vMerge w:val="continue"/>
          </w:tcPr>
          <w:p>
            <w:pPr/>
          </w:p>
        </w:tc>
        <w:tc>
          <w:tcPr/>
          <w:p>
            <w:pPr>
              <w:pStyle w:val="Compact"/>
              <w:jc w:val="left"/>
            </w:pPr>
            <w:r>
              <w:t xml:space="preserve">Category 11: Use of Sold Products</w:t>
            </w:r>
          </w:p>
        </w:tc>
        <w:tc>
          <w:tcPr/>
          <w:p>
            <w:pPr>
              <w:pStyle w:val="Compact"/>
              <w:jc w:val="left"/>
            </w:pPr>
            <w:r>
              <w:t xml:space="preserve">7.50</w:t>
            </w:r>
          </w:p>
        </w:tc>
      </w:tr>
      <w:tr>
        <w:tc>
          <w:tcPr>
            <w:gridSpan w:val="1"/>
            <w:vMerge w:val="continue"/>
          </w:tcPr>
          <w:p>
            <w:pPr/>
          </w:p>
        </w:tc>
        <w:tc>
          <w:tcPr/>
          <w:p>
            <w:pPr>
              <w:pStyle w:val="Compact"/>
              <w:jc w:val="left"/>
            </w:pPr>
            <w:r>
              <w:t xml:space="preserve">Category 12: End-of-Life Treatment of Sold Products</w:t>
            </w:r>
          </w:p>
        </w:tc>
        <w:tc>
          <w:tcPr/>
          <w:p>
            <w:pPr>
              <w:pStyle w:val="Compact"/>
              <w:jc w:val="left"/>
            </w:pPr>
            <w:r>
              <w:t xml:space="preserve">-2.86</w:t>
            </w:r>
          </w:p>
        </w:tc>
      </w:tr>
      <w:tr>
        <w:tc>
          <w:tcPr>
            <w:gridSpan w:val="2"/>
          </w:tcPr>
          <w:p>
            <w:pPr>
              <w:pStyle w:val="Compact"/>
              <w:jc w:val="right"/>
            </w:pPr>
            <w:r>
              <w:rPr>
                <w:bCs/>
                <w:b/>
              </w:rPr>
              <w:t xml:space="preserve">Total Product Carbon Footprint:</w:t>
            </w:r>
          </w:p>
        </w:tc>
        <w:tc>
          <w:tcPr/>
          <w:p>
            <w:pPr>
              <w:pStyle w:val="Compact"/>
              <w:jc w:val="left"/>
            </w:pPr>
            <w:r>
              <w:rPr>
                <w:bCs/>
                <w:b/>
              </w:rPr>
              <w:t xml:space="preserve">13.31 kg CO2e</w:t>
            </w:r>
          </w:p>
        </w:tc>
      </w:tr>
    </w:tbl>
    <w:p>
      <w:r>
        <w:pict>
          <v:rect style="width:0;height:1.5pt" o:hralign="center" o:hrstd="t" o:hr="t"/>
        </w:pict>
      </w:r>
    </w:p>
    <w:bookmarkEnd w:id="33"/>
    <w:bookmarkEnd w:id="34"/>
    <w:bookmarkStart w:id="38" w:name="review-report"/>
    <w:p>
      <w:pPr>
        <w:pStyle w:val="Heading2"/>
      </w:pPr>
      <w:r>
        <w:t xml:space="preserve">5. Review &amp; Report</w:t>
      </w:r>
    </w:p>
    <w:bookmarkStart w:id="35" w:name="emission-hotspots"/>
    <w:p>
      <w:pPr>
        <w:pStyle w:val="Heading3"/>
      </w:pPr>
      <w:r>
        <w:t xml:space="preserve">Emission Hotspots</w:t>
      </w:r>
    </w:p>
    <w:p>
      <w:pPr>
        <w:pStyle w:val="FirstParagraph"/>
      </w:pPr>
      <w:r>
        <w:t xml:space="preserve">Based on the calculations, the primary emission hotspots for delmwelezq are:</w:t>
      </w:r>
    </w:p>
    <w:p>
      <w:pPr>
        <w:numPr>
          <w:ilvl w:val="0"/>
          <w:numId w:val="1015"/>
        </w:numPr>
        <w:pStyle w:val="Compact"/>
      </w:pPr>
      <w:r>
        <w:rPr>
          <w:bCs/>
          <w:b/>
        </w:rPr>
        <w:t xml:space="preserve">Materials (Scope 3, Category 1):</w:t>
      </w:r>
      <w:r>
        <w:t xml:space="preserve"> </w:t>
      </w:r>
      <w:r>
        <w:t xml:space="preserve">At 7.23 kg CO2e, material acquisition and processing constitute a significant portion of the footprint. The production of aluminum and lithium-ion batteries are particularly impactful.</w:t>
      </w:r>
    </w:p>
    <w:p>
      <w:pPr>
        <w:numPr>
          <w:ilvl w:val="0"/>
          <w:numId w:val="1015"/>
        </w:numPr>
        <w:pStyle w:val="Compact"/>
      </w:pPr>
      <w:r>
        <w:rPr>
          <w:bCs/>
          <w:b/>
        </w:rPr>
        <w:t xml:space="preserve">Use of Sold Products (Scope 3, Category 11):</w:t>
      </w:r>
      <w:r>
        <w:t xml:space="preserve"> </w:t>
      </w:r>
      <w:r>
        <w:t xml:space="preserve">The energy consumed during the product\'s 3-year lifespan accounts for 7.50 kg CO2e, making it another major contributor, highly dependent on the energy mix of the end-user.</w:t>
      </w:r>
    </w:p>
    <w:p>
      <w:pPr>
        <w:numPr>
          <w:ilvl w:val="0"/>
          <w:numId w:val="1015"/>
        </w:numPr>
        <w:pStyle w:val="Compact"/>
      </w:pPr>
      <w:r>
        <w:rPr>
          <w:bCs/>
          <w:b/>
        </w:rPr>
        <w:t xml:space="preserve">Purchased Electricity for Manufacturing (Scope 2):</w:t>
      </w:r>
      <w:r>
        <w:t xml:space="preserve"> </w:t>
      </w:r>
      <w:r>
        <w:t xml:space="preserve">Despite 60% renewable energy usage, the remaining grid electricity contributes 1.16 kg CO2e. Further decarbonization of the energy supply in the manufacturing country would yield substantial reductions.</w:t>
      </w:r>
    </w:p>
    <w:p>
      <w:pPr>
        <w:numPr>
          <w:ilvl w:val="0"/>
          <w:numId w:val="1015"/>
        </w:numPr>
        <w:pStyle w:val="Compact"/>
      </w:pPr>
      <w:r>
        <w:rPr>
          <w:bCs/>
          <w:b/>
        </w:rPr>
        <w:t xml:space="preserve">End-of-Life (Scope 3, Category 12):</w:t>
      </w:r>
      <w:r>
        <w:t xml:space="preserve"> </w:t>
      </w:r>
      <w:r>
        <w:t xml:space="preserve">The circular economy initiatives, including high recyclability and a take-back program, result in a significant net credit (-2.86 kg CO2e), demonstrating the positive impact of such programs on the overall PCF.</w:t>
      </w:r>
    </w:p>
    <w:bookmarkEnd w:id="35"/>
    <w:bookmarkStart w:id="36" w:name="reliability-of-data-and-emission-factors"/>
    <w:p>
      <w:pPr>
        <w:pStyle w:val="Heading3"/>
      </w:pPr>
      <w:r>
        <w:t xml:space="preserve">Reliability of Data and Emission Factors</w:t>
      </w:r>
    </w:p>
    <w:p>
      <w:pPr>
        <w:pStyle w:val="FirstParagraph"/>
      </w:pPr>
      <w:r>
        <w:t xml:space="preserve">The analysis leverages specific primary data from the provided Bill of Materials for material impact. For other lifecycle stages, industry-average emission factors from recognized databases (Ecoinvent, DEFRA) were used. These secondary data sources provide a robust basis but introduce a level of uncertainty inherent in generalized factors. Higher accuracy could be achieved with more supplier-specific primary data for all upstream and downstream processes.</w:t>
      </w:r>
    </w:p>
    <w:bookmarkEnd w:id="36"/>
    <w:bookmarkStart w:id="37" w:name="X8877664c7f8833a514558f437f739c3634cd437"/>
    <w:p>
      <w:pPr>
        <w:pStyle w:val="Heading3"/>
      </w:pPr>
      <w:r>
        <w:t xml:space="preserve">Adherence to GHG Protocol and 2026 Updates</w:t>
      </w:r>
    </w:p>
    <w:p>
      <w:pPr>
        <w:numPr>
          <w:ilvl w:val="0"/>
          <w:numId w:val="1016"/>
        </w:numPr>
        <w:pStyle w:val="Compact"/>
      </w:pPr>
      <w:r>
        <w:rPr>
          <w:bCs/>
          <w:b/>
        </w:rPr>
        <w:t xml:space="preserve">GHG Protocol Compliance:</w:t>
      </w:r>
      <w:r>
        <w:t xml:space="preserve"> </w:t>
      </w:r>
      <w:r>
        <w:t xml:space="preserve">This analysis is structured entirely in accordance with the GHG Protocol Corporate Standard and the Scope 3 Standard, categorizing emissions appropriately.</w:t>
      </w:r>
    </w:p>
    <w:p>
      <w:pPr>
        <w:numPr>
          <w:ilvl w:val="0"/>
          <w:numId w:val="1016"/>
        </w:numPr>
        <w:pStyle w:val="Compact"/>
      </w:pPr>
      <w:r>
        <w:rPr>
          <w:bCs/>
          <w:b/>
        </w:rPr>
        <w:t xml:space="preserve">2026 Land Sector and Removals (LSR) Standard:</w:t>
      </w:r>
      <w:r>
        <w:t xml:space="preserve"> </w:t>
      </w:r>
      <w:r>
        <w:t xml:space="preserve">The LSR Standard, effective January 1, 2027, provides guidance for accounting for land-based emissions and CO2 removals. While this specific product (delmwelezq) does not inherently involve direct land-use change in its core components as per the BOM, the principles of accounting for carbon removals are applied in the End-of-Life phase through the calculation of avoided emissions from recycling and circular programs. For raw materials with land-use impacts (e.g., certain agricultural products or bio-based materials), a deeper analysis aligned with the LSR Standard would be required, subject to data availability. The upcoming LSR Guidance (Q2 2026) is expected to provide more practical implementation details.</w:t>
      </w:r>
    </w:p>
    <w:p>
      <w:pPr>
        <w:numPr>
          <w:ilvl w:val="0"/>
          <w:numId w:val="1016"/>
        </w:numPr>
        <w:pStyle w:val="Compact"/>
      </w:pPr>
      <w:r>
        <w:rPr>
          <w:bCs/>
          <w:b/>
        </w:rPr>
        <w:t xml:space="preserve">2026 Scope 3 Coverage:</w:t>
      </w:r>
      <w:r>
        <w:t xml:space="preserve"> </w:t>
      </w:r>
      <w:r>
        <w:t xml:space="preserve">The March 2026 GHG Protocol update proposes a prescriptive completeness requirement, mandating companies to account for at least 95% of total *required* Scope 3 emissions. This analysis has strived for comprehensive coverage of relevant Scope 3 categories based on the provided parameters, encompassing purchased goods, transport, use, and end-of-life. Any potential omissions not covered by the provided data are considered immaterial to the overall footprint at this level of detail. The disaggregation of data by type (primary vs. secondary) is also a key proposal for enhanced transparency.</w:t>
      </w:r>
    </w:p>
    <w:p>
      <w:pPr>
        <w:pStyle w:val="FirstParagraph"/>
      </w:pPr>
      <w:r>
        <w:t xml:space="preserve">This report provides a solid foundation for nlisdvkylg to understand the environmental impact of \'delmwelezq\' and identify areas for targeted emission reduction strategies. Further detailed analysis with more specific primary data across the entire value chain can further refine these findings.</w:t>
      </w:r>
    </w:p>
    <w:p>
      <w:pPr>
        <w:pStyle w:val="BodyText"/>
      </w:pPr>
      <w:r>
        <w:t xml:space="preserve">Confidential - Internal Use Only</w:t>
      </w:r>
    </w:p>
    <w:bookmarkEnd w:id="37"/>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delmwelezq</dc:title>
  <dc:creator/>
  <dc:description>High-detail Product Carbon Footprint (PCF) analysis report for delmwelezq by nlisdvkylg, adhering to GHG Protocol standards and 2026 updates.</dc:description>
  <dc:language>en</dc:language>
  <cp:keywords/>
  <dcterms:created xsi:type="dcterms:W3CDTF">2026-07-16T03:17:40Z</dcterms:created>
  <dcterms:modified xsi:type="dcterms:W3CDTF">2026-07-16T03:17:40Z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