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Commercial</w:t>
      </w:r>
      <w:r>
        <w:t xml:space="preserve"> </w:t>
      </w:r>
      <w:r>
        <w:t xml:space="preserve">EV</w:t>
      </w:r>
      <w:r>
        <w:t xml:space="preserve"> </w:t>
      </w:r>
      <w:r>
        <w:t xml:space="preserve">Charging</w:t>
      </w:r>
      <w:r>
        <w:t xml:space="preserve"> </w:t>
      </w:r>
      <w:r>
        <w:t xml:space="preserve">Station</w:t>
      </w:r>
      <w:r>
        <w:t xml:space="preserve"> </w:t>
      </w:r>
      <w:r>
        <w:t xml:space="preserve">(22</w:t>
      </w:r>
      <w:r>
        <w:t xml:space="preserve"> </w:t>
      </w:r>
      <w:r>
        <w:t xml:space="preserve">kW)</w:t>
      </w:r>
    </w:p>
    <w:p>
      <w:pPr>
        <w:pStyle w:val="FirstParagraph"/>
      </w:pPr>
      <w:r>
        <w:t xml:space="preserve">carboncalcpcf.com</w:t>
      </w:r>
    </w:p>
    <w:p>
      <w:pPr>
        <w:pStyle w:val="BodyText"/>
      </w:pPr>
      <w:r>
        <w:t xml:space="preserve">GHG Protocol Verified Standardized Assessment</w:t>
      </w:r>
    </w:p>
    <w:bookmarkStart w:id="20" w:name="X7bba29eee99cb8a049cc4fa962c875ca0281544"/>
    <w:p>
      <w:pPr>
        <w:pStyle w:val="Heading1"/>
      </w:pPr>
      <w:r>
        <w:t xml:space="preserve">Product Carbon Footprint (PCF) Technical Report</w:t>
      </w:r>
    </w:p>
    <w:p>
      <w:pPr>
        <w:pStyle w:val="FirstParagraph"/>
      </w:pPr>
      <w:r>
        <w:t xml:space="preserve">Cradle-to-Factory Gate Greenhouse Gas Quantification for Commercial Smart Dual-Socket AC EV Charging Station (22 kW)</w:t>
      </w:r>
    </w:p>
    <w:p>
      <w:pPr>
        <w:pStyle w:val="BodyText"/>
      </w:pPr>
      <w:r>
        <w:rPr>
          <w:bCs/>
          <w:b/>
        </w:rPr>
        <w:t xml:space="preserve">Product Assessed:</w:t>
      </w:r>
      <w:r>
        <w:t xml:space="preserve"> </w:t>
      </w:r>
      <w:r>
        <w:t xml:space="preserve">Smart Dual-Socket EV Charger (22 kW)</w:t>
      </w:r>
    </w:p>
    <w:p>
      <w:pPr>
        <w:pStyle w:val="BodyText"/>
      </w:pPr>
      <w:r>
        <w:rPr>
          <w:bCs/>
          <w:b/>
        </w:rPr>
        <w:t xml:space="preserve">Accounting Standard:</w:t>
      </w:r>
      <w:r>
        <w:t xml:space="preserve"> </w:t>
      </w:r>
      <w:r>
        <w:t xml:space="preserve">GHG Protocol Product Standard</w:t>
      </w:r>
    </w:p>
    <w:p>
      <w:pPr>
        <w:pStyle w:val="BodyText"/>
      </w:pPr>
      <w:r>
        <w:rPr>
          <w:bCs/>
          <w:b/>
        </w:rPr>
        <w:t xml:space="preserve">Functional Unit:</w:t>
      </w:r>
      <w:r>
        <w:t xml:space="preserve"> </w:t>
      </w:r>
      <w:r>
        <w:t xml:space="preserve">1.0 Finished Operational Unit</w:t>
      </w:r>
    </w:p>
    <w:p>
      <w:pPr>
        <w:pStyle w:val="BodyText"/>
      </w:pPr>
      <w:r>
        <w:rPr>
          <w:bCs/>
          <w:b/>
        </w:rPr>
        <w:t xml:space="preserve">Assessment Boundary:</w:t>
      </w:r>
      <w:r>
        <w:t xml:space="preserve"> </w:t>
      </w:r>
      <w:r>
        <w:t xml:space="preserve">Cradle-to-Factory Gate</w:t>
      </w:r>
    </w:p>
    <w:p>
      <w:pPr>
        <w:pStyle w:val="BodyText"/>
      </w:pPr>
      <w:r>
        <w:rPr>
          <w:bCs/>
          <w:b/>
        </w:rPr>
        <w:t xml:space="preserve">Final Assembly Location:</w:t>
      </w:r>
      <w:r>
        <w:t xml:space="preserve"> </w:t>
      </w:r>
      <w:r>
        <w:t xml:space="preserve">Brainport Region, Netherlands</w:t>
      </w:r>
    </w:p>
    <w:p>
      <w:pPr>
        <w:pStyle w:val="BodyText"/>
      </w:pPr>
      <w:r>
        <w:rPr>
          <w:bCs/>
          <w:b/>
        </w:rPr>
        <w:t xml:space="preserve">Supply Chain Focus:</w:t>
      </w:r>
      <w:r>
        <w:t xml:space="preserve"> </w:t>
      </w:r>
      <w:r>
        <w:t xml:space="preserve">Europe-Focused (EU-27)</w:t>
      </w:r>
    </w:p>
    <w:p>
      <w:pPr>
        <w:pStyle w:val="BodyText"/>
      </w:pPr>
      <w:r>
        <w:rPr>
          <w:bCs/>
          <w:b/>
        </w:rPr>
        <w:t xml:space="preserve">LSR Guidance:</w:t>
      </w:r>
      <w:r>
        <w:t xml:space="preserve"> </w:t>
      </w:r>
      <w:r>
        <w:t xml:space="preserve">2026 Land Sector and Removals</w:t>
      </w:r>
    </w:p>
    <w:p>
      <w:pPr>
        <w:pStyle w:val="BodyText"/>
      </w:pPr>
      <w:r>
        <w:rPr>
          <w:bCs/>
          <w:b/>
        </w:rPr>
        <w:t xml:space="preserve">Scope 3 Inventory Coverage:</w:t>
      </w:r>
      <w:r>
        <w:t xml:space="preserve"> </w:t>
      </w:r>
      <w:r>
        <w:t xml:space="preserve">97.4% (Complies with ≥95% Rule)</w:t>
      </w:r>
    </w:p>
    <w:p>
      <w:pPr>
        <w:pStyle w:val="BodyText"/>
      </w:pPr>
      <w:r>
        <w:rPr>
          <w:bCs/>
          <w:b/>
        </w:rPr>
        <w:t xml:space="preserve">Reporting Period:</w:t>
      </w:r>
      <w:r>
        <w:t xml:space="preserve"> </w:t>
      </w:r>
      <w:r>
        <w:t xml:space="preserve">CY2025 / Q1 2026 Audit Horizon</w:t>
      </w:r>
    </w:p>
    <w:p>
      <w:pPr>
        <w:pStyle w:val="BodyText"/>
      </w:pPr>
      <w:r>
        <w:rPr>
          <w:bCs/>
          <w:b/>
        </w:rPr>
        <w:t xml:space="preserve">Report Verification ID:</w:t>
      </w:r>
      <w:r>
        <w:t xml:space="preserve"> </w:t>
      </w:r>
      <w:r>
        <w:t xml:space="preserve">CCPCF-NL-2026-EVSE-0891</w:t>
      </w:r>
    </w:p>
    <w:bookmarkEnd w:id="20"/>
    <w:p>
      <w:pPr>
        <w:pStyle w:val="BodyText"/>
      </w:pPr>
      <w:r>
        <w:rPr>
          <w:bCs/>
          <w:b/>
        </w:rPr>
        <w:t xml:space="preserve">Disclaimer:</w:t>
      </w:r>
      <w:r>
        <w:t xml:space="preserve"> </w:t>
      </w:r>
      <w:r>
        <w:t xml:space="preserve">This Product Carbon Footprint report is generated based on verified primary operational activity data and recognized secondary life cycle inventory databases (including Ecoinvent v3.10 and European Environmental Agency/DEFRA datasets). Emissions calculations adhere strictly to the</w:t>
      </w:r>
      <w:r>
        <w:t xml:space="preserve"> </w:t>
      </w:r>
      <w:r>
        <w:rPr>
          <w:iCs/>
          <w:i/>
        </w:rPr>
        <w:t xml:space="preserve">GHG Protocol Product Life Cycle Accounting and Reporting Standard</w:t>
      </w:r>
      <w:r>
        <w:t xml:space="preserve">, the</w:t>
      </w:r>
      <w:r>
        <w:t xml:space="preserve"> </w:t>
      </w:r>
      <w:r>
        <w:rPr>
          <w:iCs/>
          <w:i/>
        </w:rPr>
        <w:t xml:space="preserve">2026 Land Sector and Removals (LSR) Standard</w:t>
      </w:r>
      <w:r>
        <w:t xml:space="preserve"> </w:t>
      </w:r>
      <w:r>
        <w:t xml:space="preserve">for biogenic flows, and current European product category rules. Results reflect cradle-to-factory gate manufacturing conditions and are subject to the declared allocation and boundary rules.</w:t>
      </w:r>
    </w:p>
    <w:p>
      <w:pPr>
        <w:pStyle w:val="BodyText"/>
      </w:pPr>
      <w:r>
        <w:t xml:space="preserve">PCF Audit Documentation</w:t>
      </w:r>
    </w:p>
    <w:p>
      <w:pPr>
        <w:pStyle w:val="BodyText"/>
      </w:pPr>
      <w:r>
        <w:t xml:space="preserve">Dual-Socket 22 kW EV Charger — Cradle-to-Gate</w:t>
      </w:r>
    </w:p>
    <w:p>
      <w:pPr>
        <w:pStyle w:val="BodyText"/>
      </w:pPr>
      <w:r>
        <w:rPr>
          <w:bCs/>
          <w:b/>
        </w:rPr>
        <w:t xml:space="preserve">Generated Date:</w:t>
      </w:r>
      <w:r>
        <w:t xml:space="preserve"> </w:t>
      </w:r>
      <w:r>
        <w:t xml:space="preserve">October 2026</w:t>
      </w:r>
      <w:r>
        <w:br/>
      </w:r>
      <w:r>
        <w:rPr>
          <w:bCs/>
          <w:b/>
        </w:rPr>
        <w:t xml:space="preserve">Standard:</w:t>
      </w:r>
      <w:r>
        <w:t xml:space="preserve"> </w:t>
      </w:r>
      <w:r>
        <w:t xml:space="preserve">GHG Protocol Product Standard</w:t>
      </w:r>
    </w:p>
    <w:bookmarkStart w:id="21" w:name="executive-summary"/>
    <w:p>
      <w:pPr>
        <w:pStyle w:val="Heading2"/>
      </w:pPr>
      <w:r>
        <w:t xml:space="preserve">Executive Summary</w:t>
      </w:r>
    </w:p>
    <w:p>
      <w:pPr>
        <w:pStyle w:val="FirstParagraph"/>
      </w:pPr>
      <w:r>
        <w:t xml:space="preserve">This Product Carbon Footprint (PCF) report establishes the cradle-to-factory-gate greenhouse gas (GHG) inventory for one unit of a commercial-grade, dual-socket 22 kW AC electric vehicle charging station assembled in the Netherlands. The assessment encompasses all upstream supply chain phases, including raw material extraction, component refining, specialized electronic and semiconductor manufacturing across Europe, inbound logistics, and direct manufacturing operations at the Dutch facility.</w:t>
      </w:r>
    </w:p>
    <w:p>
      <w:pPr>
        <w:pStyle w:val="BodyText"/>
      </w:pPr>
      <w:r>
        <w:t xml:space="preserve">Total Cradle-to-Gate</w:t>
      </w:r>
    </w:p>
    <w:p>
      <w:pPr>
        <w:pStyle w:val="BodyText"/>
      </w:pPr>
      <w:r>
        <w:t xml:space="preserve">218.42</w:t>
      </w:r>
    </w:p>
    <w:p>
      <w:pPr>
        <w:pStyle w:val="BodyText"/>
      </w:pPr>
      <w:r>
        <w:t xml:space="preserve">kg CO</w:t>
      </w:r>
      <w:r>
        <w:rPr>
          <w:vertAlign w:val="subscript"/>
        </w:rPr>
        <w:t xml:space="preserve">2</w:t>
      </w:r>
      <w:r>
        <w:t xml:space="preserve">e / unit</w:t>
      </w:r>
    </w:p>
    <w:p>
      <w:pPr>
        <w:pStyle w:val="BodyText"/>
      </w:pPr>
      <w:r>
        <w:t xml:space="preserve">Scope 1 (Direct)</w:t>
      </w:r>
    </w:p>
    <w:p>
      <w:pPr>
        <w:pStyle w:val="BodyText"/>
      </w:pPr>
      <w:r>
        <w:t xml:space="preserve">0.36</w:t>
      </w:r>
    </w:p>
    <w:p>
      <w:pPr>
        <w:pStyle w:val="BodyText"/>
      </w:pPr>
      <w:r>
        <w:t xml:space="preserve">kg CO</w:t>
      </w:r>
      <w:r>
        <w:rPr>
          <w:vertAlign w:val="subscript"/>
        </w:rPr>
        <w:t xml:space="preserve">2</w:t>
      </w:r>
      <w:r>
        <w:t xml:space="preserve">e (0.16%)</w:t>
      </w:r>
    </w:p>
    <w:p>
      <w:pPr>
        <w:pStyle w:val="BodyText"/>
      </w:pPr>
      <w:r>
        <w:t xml:space="preserve">Scope 2 (Market-based)</w:t>
      </w:r>
    </w:p>
    <w:p>
      <w:pPr>
        <w:pStyle w:val="BodyText"/>
      </w:pPr>
      <w:r>
        <w:t xml:space="preserve">0.24</w:t>
      </w:r>
    </w:p>
    <w:p>
      <w:pPr>
        <w:pStyle w:val="BodyText"/>
      </w:pPr>
      <w:r>
        <w:t xml:space="preserve">kg CO</w:t>
      </w:r>
      <w:r>
        <w:rPr>
          <w:vertAlign w:val="subscript"/>
        </w:rPr>
        <w:t xml:space="preserve">2</w:t>
      </w:r>
      <w:r>
        <w:t xml:space="preserve">e (0.11%)</w:t>
      </w:r>
    </w:p>
    <w:p>
      <w:pPr>
        <w:pStyle w:val="BodyText"/>
      </w:pPr>
      <w:r>
        <w:t xml:space="preserve">Scope 3 (Upstream)</w:t>
      </w:r>
    </w:p>
    <w:p>
      <w:pPr>
        <w:pStyle w:val="BodyText"/>
      </w:pPr>
      <w:r>
        <w:t xml:space="preserve">217.82</w:t>
      </w:r>
    </w:p>
    <w:p>
      <w:pPr>
        <w:pStyle w:val="BodyText"/>
      </w:pPr>
      <w:r>
        <w:t xml:space="preserve">kg CO</w:t>
      </w:r>
      <w:r>
        <w:rPr>
          <w:vertAlign w:val="subscript"/>
        </w:rPr>
        <w:t xml:space="preserve">2</w:t>
      </w:r>
      <w:r>
        <w:t xml:space="preserve">e (99.73%)</w:t>
      </w:r>
    </w:p>
    <w:p>
      <w:pPr>
        <w:pStyle w:val="BodyText"/>
      </w:pPr>
      <w:r>
        <w:rPr>
          <w:bCs/>
          <w:b/>
        </w:rPr>
        <w:t xml:space="preserve">Key Analytical Highlights:</w:t>
      </w:r>
    </w:p>
    <w:p>
      <w:pPr>
        <w:numPr>
          <w:ilvl w:val="0"/>
          <w:numId w:val="1001"/>
        </w:numPr>
        <w:pStyle w:val="Compact"/>
      </w:pPr>
      <w:r>
        <w:rPr>
          <w:bCs/>
          <w:b/>
        </w:rPr>
        <w:t xml:space="preserve">Total Net PCF:</w:t>
      </w:r>
      <w:r>
        <w:t xml:space="preserve"> </w:t>
      </w:r>
      <w:r>
        <w:rPr>
          <w:bCs/>
          <w:b/>
        </w:rPr>
        <w:t xml:space="preserve">218.42 kg CO</w:t>
      </w:r>
      <w:r>
        <w:rPr>
          <w:vertAlign w:val="subscript"/>
          <w:bCs/>
          <w:b/>
        </w:rPr>
        <w:t xml:space="preserve">2</w:t>
      </w:r>
      <w:r>
        <w:rPr>
          <w:bCs/>
          <w:b/>
        </w:rPr>
        <w:t xml:space="preserve">e</w:t>
      </w:r>
      <w:r>
        <w:t xml:space="preserve"> </w:t>
      </w:r>
      <w:r>
        <w:t xml:space="preserve">per unit (incorporating gross fossil emissions of 222.94 kg CO</w:t>
      </w:r>
      <w:r>
        <w:rPr>
          <w:vertAlign w:val="subscript"/>
        </w:rPr>
        <w:t xml:space="preserve">2</w:t>
      </w:r>
      <w:r>
        <w:t xml:space="preserve">e and net biogenic carbon balance of -4.52 kg CO</w:t>
      </w:r>
      <w:r>
        <w:rPr>
          <w:vertAlign w:val="subscript"/>
        </w:rPr>
        <w:t xml:space="preserve">2</w:t>
      </w:r>
      <w:r>
        <w:t xml:space="preserve">e accounted under the 2026 Land Sector and Removals Standard).</w:t>
      </w:r>
    </w:p>
    <w:p>
      <w:pPr>
        <w:numPr>
          <w:ilvl w:val="0"/>
          <w:numId w:val="1001"/>
        </w:numPr>
        <w:pStyle w:val="Compact"/>
      </w:pPr>
      <w:r>
        <w:rPr>
          <w:bCs/>
          <w:b/>
        </w:rPr>
        <w:t xml:space="preserve">Primary Carbon Drivers:</w:t>
      </w:r>
      <w:r>
        <w:t xml:space="preserve"> </w:t>
      </w:r>
      <w:r>
        <w:t xml:space="preserve">Upstream embedded emissions in structural extruded aluminum housing and populated Printed Circuit Board Assemblies (PCBAs) account for 38.6% and 29.8% of gross cradle-to-gate emissions, respectively.</w:t>
      </w:r>
    </w:p>
    <w:p>
      <w:pPr>
        <w:numPr>
          <w:ilvl w:val="0"/>
          <w:numId w:val="1001"/>
        </w:numPr>
        <w:pStyle w:val="Compact"/>
      </w:pPr>
      <w:r>
        <w:rPr>
          <w:bCs/>
          <w:b/>
        </w:rPr>
        <w:t xml:space="preserve">Scope 3 Compliance Threshold:</w:t>
      </w:r>
      <w:r>
        <w:t xml:space="preserve"> </w:t>
      </w:r>
      <w:r>
        <w:t xml:space="preserve">The Scope 3 upstream accounting covers</w:t>
      </w:r>
      <w:r>
        <w:t xml:space="preserve"> </w:t>
      </w:r>
      <w:r>
        <w:rPr>
          <w:bCs/>
          <w:b/>
        </w:rPr>
        <w:t xml:space="preserve">97.4%</w:t>
      </w:r>
      <w:r>
        <w:t xml:space="preserve"> </w:t>
      </w:r>
      <w:r>
        <w:t xml:space="preserve">of estimated cradle-to-gate mass and economic inputs, exceeding the mandatory 2026 GHG Protocol 95% coverage threshold.</w:t>
      </w:r>
    </w:p>
    <w:p>
      <w:pPr>
        <w:numPr>
          <w:ilvl w:val="0"/>
          <w:numId w:val="1001"/>
        </w:numPr>
        <w:pStyle w:val="Compact"/>
      </w:pPr>
      <w:r>
        <w:rPr>
          <w:bCs/>
          <w:b/>
        </w:rPr>
        <w:t xml:space="preserve">Energy Mix Benefit:</w:t>
      </w:r>
      <w:r>
        <w:t xml:space="preserve"> </w:t>
      </w:r>
      <w:r>
        <w:t xml:space="preserve">The manufacturing facility in the Netherlands operates on 100% certified Dutch wind electricity backed by European Guarantees of Origin (GoOs), reducing Scope 2 emissions by 94.2% compared to the national grid residual mix.</w:t>
      </w:r>
    </w:p>
    <w:p>
      <w:r>
        <w:pict>
          <v:rect style="width:0;height:1.5pt" o:hralign="center" o:hrstd="t" o:hr="t"/>
        </w:pict>
      </w:r>
    </w:p>
    <w:bookmarkEnd w:id="21"/>
    <w:bookmarkStart w:id="25" w:name="Xffa206418d5c9e5d38ed5ae29f3bef7adf6775a"/>
    <w:p>
      <w:pPr>
        <w:pStyle w:val="Heading1"/>
      </w:pPr>
      <w:r>
        <w:t xml:space="preserve">Step 1: Scope Definition &amp; Methodological Framework</w:t>
      </w:r>
    </w:p>
    <w:bookmarkStart w:id="22" w:name="functional-unit"/>
    <w:p>
      <w:pPr>
        <w:pStyle w:val="Heading3"/>
      </w:pPr>
      <w:r>
        <w:t xml:space="preserve">1.1 Functional Unit</w:t>
      </w:r>
    </w:p>
    <w:p>
      <w:pPr>
        <w:pStyle w:val="FirstParagraph"/>
      </w:pPr>
      <w:r>
        <w:t xml:space="preserve">The functional unit is defined as</w:t>
      </w:r>
      <w:r>
        <w:t xml:space="preserve"> </w:t>
      </w:r>
      <w:r>
        <w:rPr>
          <w:bCs/>
          <w:b/>
        </w:rPr>
        <w:t xml:space="preserve">1.0 unit (piece) of an industrial-grade, commercial 22 kW AC Dual-Socket Smart EV Charging Station</w:t>
      </w:r>
      <w:r>
        <w:t xml:space="preserve"> </w:t>
      </w:r>
      <w:r>
        <w:t xml:space="preserve">(nominal operational rating: 3-phase 400V AC, 32A per socket, integrated MID-certified metering, ISO 15118 / OCPP 2.0.1 controller, 7-inch capacitive HMI display, IP54/IK10 rated enclosure, gross product mass: 29.40 kg without packaging; 33.15 kg packaged).</w:t>
      </w:r>
    </w:p>
    <w:bookmarkEnd w:id="22"/>
    <w:bookmarkStart w:id="23" w:name="system-boundary"/>
    <w:p>
      <w:pPr>
        <w:pStyle w:val="Heading3"/>
      </w:pPr>
      <w:r>
        <w:t xml:space="preserve">1.2 System Boundary</w:t>
      </w:r>
    </w:p>
    <w:p>
      <w:pPr>
        <w:pStyle w:val="FirstParagraph"/>
      </w:pPr>
      <w:r>
        <w:t xml:space="preserve">The system boundary adheres to a</w:t>
      </w:r>
      <w:r>
        <w:t xml:space="preserve"> </w:t>
      </w:r>
      <w:r>
        <w:rPr>
          <w:bCs/>
          <w:b/>
        </w:rPr>
        <w:t xml:space="preserve">Cradle-to-Factory Gate</w:t>
      </w:r>
      <w:r>
        <w:t xml:space="preserve"> </w:t>
      </w:r>
      <w:r>
        <w:t xml:space="preserve">configuration under the GHG Protocol Product Standard. The boundary includes all lifecycle stages from raw material extraction up to the point where the packaged product leaves the final production gate in the Netherlands.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Boundary Status</w:t>
            </w:r>
          </w:p>
        </w:tc>
        <w:tc>
          <w:tcPr/>
          <w:p>
            <w:pPr>
              <w:pStyle w:val="Compact"/>
              <w:jc w:val="left"/>
            </w:pPr>
            <w:r>
              <w:t xml:space="preserve">Included Processes &amp; Technical Elements</w:t>
            </w:r>
          </w:p>
        </w:tc>
      </w:tr>
      <w:tr>
        <w:tc>
          <w:tcPr/>
          <w:p>
            <w:pPr>
              <w:pStyle w:val="Compact"/>
              <w:jc w:val="left"/>
            </w:pPr>
            <w:r>
              <w:rPr>
                <w:bCs/>
                <w:b/>
              </w:rPr>
              <w:t xml:space="preserve">Raw Material Extraction &amp; Refining</w:t>
            </w:r>
          </w:p>
        </w:tc>
        <w:tc>
          <w:tcPr/>
          <w:p>
            <w:pPr>
              <w:pStyle w:val="Compact"/>
              <w:jc w:val="left"/>
            </w:pPr>
            <w:r>
              <w:t xml:space="preserve">Included</w:t>
            </w:r>
          </w:p>
        </w:tc>
        <w:tc>
          <w:tcPr/>
          <w:p>
            <w:pPr>
              <w:pStyle w:val="Compact"/>
              <w:jc w:val="left"/>
            </w:pPr>
            <w:r>
              <w:t xml:space="preserve">Bauxite mining, alumina smelting, virgin/recycled aluminum extrusion, crude oil refining, polymer synthesis (PC/ABS, PA66), copper smelting and drawing, quartz and mineral processing for semiconductors.</w:t>
            </w:r>
          </w:p>
        </w:tc>
      </w:tr>
      <w:tr>
        <w:tc>
          <w:tcPr/>
          <w:p>
            <w:pPr>
              <w:pStyle w:val="Compact"/>
              <w:jc w:val="left"/>
            </w:pPr>
            <w:r>
              <w:rPr>
                <w:bCs/>
                <w:b/>
              </w:rPr>
              <w:t xml:space="preserve">Component Manufacturing</w:t>
            </w:r>
          </w:p>
        </w:tc>
        <w:tc>
          <w:tcPr/>
          <w:p>
            <w:pPr>
              <w:pStyle w:val="Compact"/>
              <w:jc w:val="left"/>
            </w:pPr>
            <w:r>
              <w:t xml:space="preserve">Included</w:t>
            </w:r>
          </w:p>
        </w:tc>
        <w:tc>
          <w:tcPr/>
          <w:p>
            <w:pPr>
              <w:pStyle w:val="Compact"/>
              <w:jc w:val="left"/>
            </w:pPr>
            <w:r>
              <w:t xml:space="preserve">Extrusion and CNC machining of enclosure, injection molding of polymer covers, copper busbar and cable harnessing, multilayer PCB fabrication, surface-mount technology (SMT) electronics assembly, display module fabrication, contactor/breaker production.</w:t>
            </w:r>
          </w:p>
        </w:tc>
      </w:tr>
      <w:tr>
        <w:tc>
          <w:tcPr/>
          <w:p>
            <w:pPr>
              <w:pStyle w:val="Compact"/>
              <w:jc w:val="left"/>
            </w:pPr>
            <w:r>
              <w:rPr>
                <w:bCs/>
                <w:b/>
              </w:rPr>
              <w:t xml:space="preserve">Inbound Logistics</w:t>
            </w:r>
          </w:p>
        </w:tc>
        <w:tc>
          <w:tcPr/>
          <w:p>
            <w:pPr>
              <w:pStyle w:val="Compact"/>
              <w:jc w:val="left"/>
            </w:pPr>
            <w:r>
              <w:t xml:space="preserve">Included</w:t>
            </w:r>
          </w:p>
        </w:tc>
        <w:tc>
          <w:tcPr/>
          <w:p>
            <w:pPr>
              <w:pStyle w:val="Compact"/>
              <w:jc w:val="left"/>
            </w:pPr>
            <w:r>
              <w:t xml:space="preserve">European freight transport (Euro 6 road freight, intermodal rail) of intermediate components from suppliers located in Germany, Poland, France, Belgium, and Austria to the Dutch manufacturing facility.</w:t>
            </w:r>
          </w:p>
        </w:tc>
      </w:tr>
      <w:tr>
        <w:tc>
          <w:tcPr/>
          <w:p>
            <w:pPr>
              <w:pStyle w:val="Compact"/>
              <w:jc w:val="left"/>
            </w:pPr>
            <w:r>
              <w:rPr>
                <w:bCs/>
                <w:b/>
              </w:rPr>
              <w:t xml:space="preserve">Dutch Final Assembly &amp; Testing</w:t>
            </w:r>
          </w:p>
        </w:tc>
        <w:tc>
          <w:tcPr/>
          <w:p>
            <w:pPr>
              <w:pStyle w:val="Compact"/>
              <w:jc w:val="left"/>
            </w:pPr>
            <w:r>
              <w:t xml:space="preserve">Included</w:t>
            </w:r>
          </w:p>
        </w:tc>
        <w:tc>
          <w:tcPr/>
          <w:p>
            <w:pPr>
              <w:pStyle w:val="Compact"/>
              <w:jc w:val="left"/>
            </w:pPr>
            <w:r>
              <w:t xml:space="preserve">Sub-assembly mechanical integration, automated screw driving, wire routing, high-voltage flash testing, dielectric insulation validation, firmware flashing, and burn-in testing. Direct natural gas facility heating, fugitive refrigerant losses, and electricity consumption.</w:t>
            </w:r>
          </w:p>
        </w:tc>
      </w:tr>
      <w:tr>
        <w:tc>
          <w:tcPr/>
          <w:p>
            <w:pPr>
              <w:pStyle w:val="Compact"/>
              <w:jc w:val="left"/>
            </w:pPr>
            <w:r>
              <w:rPr>
                <w:bCs/>
                <w:b/>
              </w:rPr>
              <w:t xml:space="preserve">Packaging &amp; Gate Storage</w:t>
            </w:r>
          </w:p>
        </w:tc>
        <w:tc>
          <w:tcPr/>
          <w:p>
            <w:pPr>
              <w:pStyle w:val="Compact"/>
              <w:jc w:val="left"/>
            </w:pPr>
            <w:r>
              <w:t xml:space="preserve">Included</w:t>
            </w:r>
          </w:p>
        </w:tc>
        <w:tc>
          <w:tcPr/>
          <w:p>
            <w:pPr>
              <w:pStyle w:val="Compact"/>
              <w:jc w:val="left"/>
            </w:pPr>
            <w:r>
              <w:t xml:space="preserve">Corrugated cardboard carton (recycled content), molded cellulose pulp end-caps, LDPE protective film bag, pallet consolidation, and automated strapping ready for dispatch.</w:t>
            </w:r>
          </w:p>
        </w:tc>
      </w:tr>
      <w:tr>
        <w:tc>
          <w:tcPr/>
          <w:p>
            <w:pPr>
              <w:pStyle w:val="Compact"/>
              <w:jc w:val="left"/>
            </w:pPr>
            <w:r>
              <w:rPr>
                <w:bCs/>
                <w:b/>
              </w:rPr>
              <w:t xml:space="preserve">Downstream Distribution, Use &amp; EOL</w:t>
            </w:r>
          </w:p>
        </w:tc>
        <w:tc>
          <w:tcPr/>
          <w:p>
            <w:pPr>
              <w:pStyle w:val="Compact"/>
              <w:jc w:val="left"/>
            </w:pPr>
            <w:r>
              <w:t xml:space="preserve">Excluded</w:t>
            </w:r>
          </w:p>
        </w:tc>
        <w:tc>
          <w:tcPr/>
          <w:p>
            <w:pPr>
              <w:pStyle w:val="Compact"/>
              <w:jc w:val="left"/>
            </w:pPr>
            <w:r>
              <w:t xml:space="preserve">Outbound transport to installer/cpo, civil works/installation at charging site, use-phase operational electricity consumption and grid losses, maintenance visits, end-of-life deconstruction, and terminal recycling/disposal.</w:t>
            </w:r>
          </w:p>
        </w:tc>
      </w:tr>
    </w:tbl>
    <w:bookmarkEnd w:id="23"/>
    <w:bookmarkStart w:id="24" w:name="geographic-scope-allocation-rules"/>
    <w:p>
      <w:pPr>
        <w:pStyle w:val="Heading3"/>
      </w:pPr>
      <w:r>
        <w:t xml:space="preserve">1.3 Geographic Scope &amp; Allocation Rules</w:t>
      </w:r>
    </w:p>
    <w:p>
      <w:pPr>
        <w:numPr>
          <w:ilvl w:val="0"/>
          <w:numId w:val="1002"/>
        </w:numPr>
        <w:pStyle w:val="Compact"/>
      </w:pPr>
      <w:r>
        <w:rPr>
          <w:bCs/>
          <w:b/>
        </w:rPr>
        <w:t xml:space="preserve">Geographic Scope:</w:t>
      </w:r>
      <w:r>
        <w:t xml:space="preserve"> </w:t>
      </w:r>
      <w:r>
        <w:t xml:space="preserve">Final production occurs at an assembly plant in the Brainport Eindhoven region, Netherlands. The tier-1 and tier-2 supply chain is Europe-focused, with primary components sourced from Germany (electronics, switchgear), Belgium (polymers), Poland (wire harnesses), and France/Austria (aluminum profiles).</w:t>
      </w:r>
    </w:p>
    <w:p>
      <w:pPr>
        <w:numPr>
          <w:ilvl w:val="0"/>
          <w:numId w:val="1002"/>
        </w:numPr>
        <w:pStyle w:val="Compact"/>
      </w:pPr>
      <w:r>
        <w:rPr>
          <w:bCs/>
          <w:b/>
        </w:rPr>
        <w:t xml:space="preserve">Multi-Output Allocation:</w:t>
      </w:r>
      <w:r>
        <w:t xml:space="preserve"> </w:t>
      </w:r>
      <w:r>
        <w:t xml:space="preserve">Facility overhead energy and emissions are allocated on a physical per-unit cycle time and mass-basis derived from sub-metered facility manufacturing data. No co-product economic allocation was required at the tier-1 facility gate.</w:t>
      </w:r>
    </w:p>
    <w:p>
      <w:pPr>
        <w:numPr>
          <w:ilvl w:val="0"/>
          <w:numId w:val="1002"/>
        </w:numPr>
        <w:pStyle w:val="Compact"/>
      </w:pPr>
      <w:r>
        <w:rPr>
          <w:bCs/>
          <w:b/>
        </w:rPr>
        <w:t xml:space="preserve">Recycled Content Allocation:</w:t>
      </w:r>
      <w:r>
        <w:t xml:space="preserve"> </w:t>
      </w:r>
      <w:r>
        <w:t xml:space="preserve">The recycled content (cut-off) method is applied for secondary metals and paper packaging in compliance with the GHG Protocol Product Standard. Recycled materials enter the system boundary free of historical upstream burdens, bearing only reprocessing emissions.</w:t>
      </w:r>
    </w:p>
    <w:p>
      <w:pPr>
        <w:numPr>
          <w:ilvl w:val="0"/>
          <w:numId w:val="1002"/>
        </w:numPr>
        <w:pStyle w:val="Compact"/>
      </w:pPr>
      <w:r>
        <w:rPr>
          <w:bCs/>
          <w:b/>
        </w:rPr>
        <w:t xml:space="preserve">2026 LSR Standard Application:</w:t>
      </w:r>
      <w:r>
        <w:t xml:space="preserve"> </w:t>
      </w:r>
      <w:r>
        <w:t xml:space="preserve">Biogenic carbon flows associated with forest-derived packaging (corrugated cardboard carton and molded paper pulp) are accounted for separately under the</w:t>
      </w:r>
      <w:r>
        <w:t xml:space="preserve"> </w:t>
      </w:r>
      <w:r>
        <w:rPr>
          <w:iCs/>
          <w:i/>
        </w:rPr>
        <w:t xml:space="preserve">GHG Protocol Land Sector and Removals Standard (2026)</w:t>
      </w:r>
      <w:r>
        <w:t xml:space="preserve">. Carbon storage in packaging is tracked through gate departure.</w:t>
      </w:r>
    </w:p>
    <w:p>
      <w:r>
        <w:pict>
          <v:rect style="width:0;height:1.5pt" o:hralign="center" o:hrstd="t" o:hr="t"/>
        </w:pict>
      </w:r>
    </w:p>
    <w:bookmarkEnd w:id="24"/>
    <w:bookmarkEnd w:id="25"/>
    <w:bookmarkStart w:id="28" w:name="X2bf9aa3027e97e106e55575c065d124046e8963"/>
    <w:p>
      <w:pPr>
        <w:pStyle w:val="Heading1"/>
      </w:pPr>
      <w:r>
        <w:t xml:space="preserve">Steps 2 &amp; 3: Life Cycle Inventory (LCI) &amp; Primary Data Collection</w:t>
      </w:r>
    </w:p>
    <w:p>
      <w:pPr>
        <w:pStyle w:val="FirstParagraph"/>
      </w:pPr>
      <w:r>
        <w:t xml:space="preserve">Data collection combines primary specific bill-of-materials (BOM) records, utility meter readings, and supplier transport manifests collected during 2025/2026 operations at the Netherlands facility, paired with high-granularity secondary datasets from Ecoinvent v3.10 and regional European environmental registries.</w:t>
      </w:r>
    </w:p>
    <w:bookmarkStart w:id="26" w:name="X261fb057ac7f16e55a16960828f2a314a7d4333"/>
    <w:p>
      <w:pPr>
        <w:pStyle w:val="Heading3"/>
      </w:pPr>
      <w:r>
        <w:t xml:space="preserve">2.1 Material Inventory &amp; Upstream Inbound Breakdown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 / Material Stream</w:t>
            </w:r>
          </w:p>
        </w:tc>
        <w:tc>
          <w:tcPr/>
          <w:p>
            <w:pPr>
              <w:pStyle w:val="Compact"/>
              <w:jc w:val="left"/>
            </w:pPr>
            <w:r>
              <w:t xml:space="preserve">Material Classification</w:t>
            </w:r>
          </w:p>
        </w:tc>
        <w:tc>
          <w:tcPr/>
          <w:p>
            <w:pPr>
              <w:pStyle w:val="Compact"/>
              <w:jc w:val="left"/>
            </w:pPr>
            <w:r>
              <w:t xml:space="preserve">Net Mass (kg)</w:t>
            </w:r>
          </w:p>
        </w:tc>
        <w:tc>
          <w:tcPr/>
          <w:p>
            <w:pPr>
              <w:pStyle w:val="Compact"/>
              <w:jc w:val="left"/>
            </w:pPr>
            <w:r>
              <w:t xml:space="preserve">Primary Supplier Country</w:t>
            </w:r>
          </w:p>
        </w:tc>
        <w:tc>
          <w:tcPr/>
          <w:p>
            <w:pPr>
              <w:pStyle w:val="Compact"/>
              <w:jc w:val="left"/>
            </w:pPr>
            <w:r>
              <w:t xml:space="preserve">Inbound Transport Mode &amp; Distance</w:t>
            </w:r>
          </w:p>
        </w:tc>
        <w:tc>
          <w:tcPr/>
          <w:p>
            <w:pPr>
              <w:pStyle w:val="Compact"/>
              <w:jc w:val="left"/>
            </w:pPr>
            <w:r>
              <w:t xml:space="preserve">Data Source Type</w:t>
            </w:r>
          </w:p>
        </w:tc>
      </w:tr>
      <w:tr>
        <w:tc>
          <w:tcPr/>
          <w:p>
            <w:pPr>
              <w:pStyle w:val="Compact"/>
              <w:jc w:val="left"/>
            </w:pPr>
            <w:r>
              <w:t xml:space="preserve">Main Outer Enclosure Profile</w:t>
            </w:r>
          </w:p>
        </w:tc>
        <w:tc>
          <w:tcPr/>
          <w:p>
            <w:pPr>
              <w:pStyle w:val="Compact"/>
              <w:jc w:val="left"/>
            </w:pPr>
            <w:r>
              <w:t xml:space="preserve">Extruded Aluminum (EN AW-6060, 45% post-consumer)</w:t>
            </w:r>
          </w:p>
        </w:tc>
        <w:tc>
          <w:tcPr/>
          <w:p>
            <w:pPr>
              <w:pStyle w:val="Compact"/>
              <w:jc w:val="left"/>
            </w:pPr>
            <w:r>
              <w:t xml:space="preserve">11.85</w:t>
            </w:r>
          </w:p>
        </w:tc>
        <w:tc>
          <w:tcPr/>
          <w:p>
            <w:pPr>
              <w:pStyle w:val="Compact"/>
              <w:jc w:val="left"/>
            </w:pPr>
            <w:r>
              <w:t xml:space="preserve">France / Germany</w:t>
            </w:r>
          </w:p>
        </w:tc>
        <w:tc>
          <w:tcPr/>
          <w:p>
            <w:pPr>
              <w:pStyle w:val="Compact"/>
              <w:jc w:val="left"/>
            </w:pPr>
            <w:r>
              <w:t xml:space="preserve">580 km, Euro 6 Truck (&gt;32t)</w:t>
            </w:r>
          </w:p>
        </w:tc>
        <w:tc>
          <w:tcPr/>
          <w:p>
            <w:pPr>
              <w:pStyle w:val="Compact"/>
              <w:jc w:val="left"/>
            </w:pPr>
            <w:r>
              <w:t xml:space="preserve">Primary BOM / Secondary LCI</w:t>
            </w:r>
          </w:p>
        </w:tc>
      </w:tr>
      <w:tr>
        <w:tc>
          <w:tcPr/>
          <w:p>
            <w:pPr>
              <w:pStyle w:val="Compact"/>
              <w:jc w:val="left"/>
            </w:pPr>
            <w:r>
              <w:t xml:space="preserve">Base Plate &amp; Internal Chassis</w:t>
            </w:r>
          </w:p>
        </w:tc>
        <w:tc>
          <w:tcPr/>
          <w:p>
            <w:pPr>
              <w:pStyle w:val="Compact"/>
              <w:jc w:val="left"/>
            </w:pPr>
            <w:r>
              <w:t xml:space="preserve">Galvanized Steel Sheet (DX51D+Z)</w:t>
            </w:r>
          </w:p>
        </w:tc>
        <w:tc>
          <w:tcPr/>
          <w:p>
            <w:pPr>
              <w:pStyle w:val="Compact"/>
              <w:jc w:val="left"/>
            </w:pPr>
            <w:r>
              <w:t xml:space="preserve">5.40</w:t>
            </w:r>
          </w:p>
        </w:tc>
        <w:tc>
          <w:tcPr/>
          <w:p>
            <w:pPr>
              <w:pStyle w:val="Compact"/>
              <w:jc w:val="left"/>
            </w:pPr>
            <w:r>
              <w:t xml:space="preserve">Germany (Ruhr)</w:t>
            </w:r>
          </w:p>
        </w:tc>
        <w:tc>
          <w:tcPr/>
          <w:p>
            <w:pPr>
              <w:pStyle w:val="Compact"/>
              <w:jc w:val="left"/>
            </w:pPr>
            <w:r>
              <w:t xml:space="preserve">240 km, Euro 6 Truck (&gt;32t)</w:t>
            </w:r>
          </w:p>
        </w:tc>
        <w:tc>
          <w:tcPr/>
          <w:p>
            <w:pPr>
              <w:pStyle w:val="Compact"/>
              <w:jc w:val="left"/>
            </w:pPr>
            <w:r>
              <w:t xml:space="preserve">Primary BOM / Secondary LCI</w:t>
            </w:r>
          </w:p>
        </w:tc>
      </w:tr>
      <w:tr>
        <w:tc>
          <w:tcPr/>
          <w:p>
            <w:pPr>
              <w:pStyle w:val="Compact"/>
              <w:jc w:val="left"/>
            </w:pPr>
            <w:r>
              <w:t xml:space="preserve">Front Fascia &amp; Display Window</w:t>
            </w:r>
          </w:p>
        </w:tc>
        <w:tc>
          <w:tcPr/>
          <w:p>
            <w:pPr>
              <w:pStyle w:val="Compact"/>
              <w:jc w:val="left"/>
            </w:pPr>
            <w:r>
              <w:t xml:space="preserve">Polycarbonate / PBT Blend (UV stabilized)</w:t>
            </w:r>
          </w:p>
        </w:tc>
        <w:tc>
          <w:tcPr/>
          <w:p>
            <w:pPr>
              <w:pStyle w:val="Compact"/>
              <w:jc w:val="left"/>
            </w:pPr>
            <w:r>
              <w:t xml:space="preserve">3.10</w:t>
            </w:r>
          </w:p>
        </w:tc>
        <w:tc>
          <w:tcPr/>
          <w:p>
            <w:pPr>
              <w:pStyle w:val="Compact"/>
              <w:jc w:val="left"/>
            </w:pPr>
            <w:r>
              <w:t xml:space="preserve">Belgium (Antwerp)</w:t>
            </w:r>
          </w:p>
        </w:tc>
        <w:tc>
          <w:tcPr/>
          <w:p>
            <w:pPr>
              <w:pStyle w:val="Compact"/>
              <w:jc w:val="left"/>
            </w:pPr>
            <w:r>
              <w:t xml:space="preserve">115 km, Euro 6 Truck (16-32t)</w:t>
            </w:r>
          </w:p>
        </w:tc>
        <w:tc>
          <w:tcPr/>
          <w:p>
            <w:pPr>
              <w:pStyle w:val="Compact"/>
              <w:jc w:val="left"/>
            </w:pPr>
            <w:r>
              <w:t xml:space="preserve">Primary BOM / Secondary LCI</w:t>
            </w:r>
          </w:p>
        </w:tc>
      </w:tr>
      <w:tr>
        <w:tc>
          <w:tcPr/>
          <w:p>
            <w:pPr>
              <w:pStyle w:val="Compact"/>
              <w:jc w:val="left"/>
            </w:pPr>
            <w:r>
              <w:t xml:space="preserve">Internal Mounting Brackets &amp; Ducts</w:t>
            </w:r>
          </w:p>
        </w:tc>
        <w:tc>
          <w:tcPr/>
          <w:p>
            <w:pPr>
              <w:pStyle w:val="Compact"/>
              <w:jc w:val="left"/>
            </w:pPr>
            <w:r>
              <w:t xml:space="preserve">Polyamide 66 (PA66, 30% Glass Filled)</w:t>
            </w:r>
          </w:p>
        </w:tc>
        <w:tc>
          <w:tcPr/>
          <w:p>
            <w:pPr>
              <w:pStyle w:val="Compact"/>
              <w:jc w:val="left"/>
            </w:pPr>
            <w:r>
              <w:t xml:space="preserve">1.45</w:t>
            </w:r>
          </w:p>
        </w:tc>
        <w:tc>
          <w:tcPr/>
          <w:p>
            <w:pPr>
              <w:pStyle w:val="Compact"/>
              <w:jc w:val="left"/>
            </w:pPr>
            <w:r>
              <w:t xml:space="preserve">Germany</w:t>
            </w:r>
          </w:p>
        </w:tc>
        <w:tc>
          <w:tcPr/>
          <w:p>
            <w:pPr>
              <w:pStyle w:val="Compact"/>
              <w:jc w:val="left"/>
            </w:pPr>
            <w:r>
              <w:t xml:space="preserve">420 km, Euro 6 Truck (16-32t)</w:t>
            </w:r>
          </w:p>
        </w:tc>
        <w:tc>
          <w:tcPr/>
          <w:p>
            <w:pPr>
              <w:pStyle w:val="Compact"/>
              <w:jc w:val="left"/>
            </w:pPr>
            <w:r>
              <w:t xml:space="preserve">Primary BOM / Secondary LCI</w:t>
            </w:r>
          </w:p>
        </w:tc>
      </w:tr>
      <w:tr>
        <w:tc>
          <w:tcPr/>
          <w:p>
            <w:pPr>
              <w:pStyle w:val="Compact"/>
              <w:jc w:val="left"/>
            </w:pPr>
            <w:r>
              <w:t xml:space="preserve">Main Controller &amp; Communication PCBA</w:t>
            </w:r>
          </w:p>
        </w:tc>
        <w:tc>
          <w:tcPr/>
          <w:p>
            <w:pPr>
              <w:pStyle w:val="Compact"/>
              <w:jc w:val="left"/>
            </w:pPr>
            <w:r>
              <w:t xml:space="preserve">High-density Multilayer PCB + SMD Components</w:t>
            </w:r>
          </w:p>
        </w:tc>
        <w:tc>
          <w:tcPr/>
          <w:p>
            <w:pPr>
              <w:pStyle w:val="Compact"/>
              <w:jc w:val="left"/>
            </w:pPr>
            <w:r>
              <w:t xml:space="preserve">0.82</w:t>
            </w:r>
          </w:p>
        </w:tc>
        <w:tc>
          <w:tcPr/>
          <w:p>
            <w:pPr>
              <w:pStyle w:val="Compact"/>
              <w:jc w:val="left"/>
            </w:pPr>
            <w:r>
              <w:t xml:space="preserve">Germany (Bavaria)</w:t>
            </w:r>
          </w:p>
        </w:tc>
        <w:tc>
          <w:tcPr/>
          <w:p>
            <w:pPr>
              <w:pStyle w:val="Compact"/>
              <w:jc w:val="left"/>
            </w:pPr>
            <w:r>
              <w:t xml:space="preserve">650 km, Euro 6 Truck (7.5-16t)</w:t>
            </w:r>
          </w:p>
        </w:tc>
        <w:tc>
          <w:tcPr/>
          <w:p>
            <w:pPr>
              <w:pStyle w:val="Compact"/>
              <w:jc w:val="left"/>
            </w:pPr>
            <w:r>
              <w:t xml:space="preserve">Supplier EPD / Secondary LCI</w:t>
            </w:r>
          </w:p>
        </w:tc>
      </w:tr>
      <w:tr>
        <w:tc>
          <w:tcPr/>
          <w:p>
            <w:pPr>
              <w:pStyle w:val="Compact"/>
              <w:jc w:val="left"/>
            </w:pPr>
            <w:r>
              <w:t xml:space="preserve">Power Distribution Board &amp; MID Meters</w:t>
            </w:r>
          </w:p>
        </w:tc>
        <w:tc>
          <w:tcPr/>
          <w:p>
            <w:pPr>
              <w:pStyle w:val="Compact"/>
              <w:jc w:val="left"/>
            </w:pPr>
            <w:r>
              <w:t xml:space="preserve">Medium-density PCBA + Current Transformers</w:t>
            </w:r>
          </w:p>
        </w:tc>
        <w:tc>
          <w:tcPr/>
          <w:p>
            <w:pPr>
              <w:pStyle w:val="Compact"/>
              <w:jc w:val="left"/>
            </w:pPr>
            <w:r>
              <w:t xml:space="preserve">1.15</w:t>
            </w:r>
          </w:p>
        </w:tc>
        <w:tc>
          <w:tcPr/>
          <w:p>
            <w:pPr>
              <w:pStyle w:val="Compact"/>
              <w:jc w:val="left"/>
            </w:pPr>
            <w:r>
              <w:t xml:space="preserve">Austria / Germany</w:t>
            </w:r>
          </w:p>
        </w:tc>
        <w:tc>
          <w:tcPr/>
          <w:p>
            <w:pPr>
              <w:pStyle w:val="Compact"/>
              <w:jc w:val="left"/>
            </w:pPr>
            <w:r>
              <w:t xml:space="preserve">820 km, Euro 6 Truck (16-32t)</w:t>
            </w:r>
          </w:p>
        </w:tc>
        <w:tc>
          <w:tcPr/>
          <w:p>
            <w:pPr>
              <w:pStyle w:val="Compact"/>
              <w:jc w:val="left"/>
            </w:pPr>
            <w:r>
              <w:t xml:space="preserve">Supplier EPD / Secondary LCI</w:t>
            </w:r>
          </w:p>
        </w:tc>
      </w:tr>
      <w:tr>
        <w:tc>
          <w:tcPr/>
          <w:p>
            <w:pPr>
              <w:pStyle w:val="Compact"/>
              <w:jc w:val="left"/>
            </w:pPr>
            <w:r>
              <w:t xml:space="preserve">Semiconductor ICs &amp; Microcontrollers</w:t>
            </w:r>
          </w:p>
        </w:tc>
        <w:tc>
          <w:tcPr/>
          <w:p>
            <w:pPr>
              <w:pStyle w:val="Compact"/>
              <w:jc w:val="left"/>
            </w:pPr>
            <w:r>
              <w:t xml:space="preserve">Silicon Wafers, Encapsulated ICs</w:t>
            </w:r>
          </w:p>
        </w:tc>
        <w:tc>
          <w:tcPr/>
          <w:p>
            <w:pPr>
              <w:pStyle w:val="Compact"/>
              <w:jc w:val="left"/>
            </w:pPr>
            <w:r>
              <w:t xml:space="preserve">0.28</w:t>
            </w:r>
          </w:p>
        </w:tc>
        <w:tc>
          <w:tcPr/>
          <w:p>
            <w:pPr>
              <w:pStyle w:val="Compact"/>
              <w:jc w:val="left"/>
            </w:pPr>
            <w:r>
              <w:t xml:space="preserve">Netherlands / Germany Fab</w:t>
            </w:r>
          </w:p>
        </w:tc>
        <w:tc>
          <w:tcPr/>
          <w:p>
            <w:pPr>
              <w:pStyle w:val="Compact"/>
              <w:jc w:val="left"/>
            </w:pPr>
            <w:r>
              <w:t xml:space="preserve">180 km, Light Commercial Van</w:t>
            </w:r>
          </w:p>
        </w:tc>
        <w:tc>
          <w:tcPr/>
          <w:p>
            <w:pPr>
              <w:pStyle w:val="Compact"/>
              <w:jc w:val="left"/>
            </w:pPr>
            <w:r>
              <w:t xml:space="preserve">Primary BOM / Ecoinvent 3.10</w:t>
            </w:r>
          </w:p>
        </w:tc>
      </w:tr>
      <w:tr>
        <w:tc>
          <w:tcPr/>
          <w:p>
            <w:pPr>
              <w:pStyle w:val="Compact"/>
              <w:jc w:val="left"/>
            </w:pPr>
            <w:r>
              <w:t xml:space="preserve">Type 2 AC Sockets &amp; Contactors (x2)</w:t>
            </w:r>
          </w:p>
        </w:tc>
        <w:tc>
          <w:tcPr/>
          <w:p>
            <w:pPr>
              <w:pStyle w:val="Compact"/>
              <w:jc w:val="left"/>
            </w:pPr>
            <w:r>
              <w:t xml:space="preserve">Copper Alloy, Silver Contacts, PBT Body</w:t>
            </w:r>
          </w:p>
        </w:tc>
        <w:tc>
          <w:tcPr/>
          <w:p>
            <w:pPr>
              <w:pStyle w:val="Compact"/>
              <w:jc w:val="left"/>
            </w:pPr>
            <w:r>
              <w:t xml:space="preserve">2.45</w:t>
            </w:r>
          </w:p>
        </w:tc>
        <w:tc>
          <w:tcPr/>
          <w:p>
            <w:pPr>
              <w:pStyle w:val="Compact"/>
              <w:jc w:val="left"/>
            </w:pPr>
            <w:r>
              <w:t xml:space="preserve">Germany</w:t>
            </w:r>
          </w:p>
        </w:tc>
        <w:tc>
          <w:tcPr/>
          <w:p>
            <w:pPr>
              <w:pStyle w:val="Compact"/>
              <w:jc w:val="left"/>
            </w:pPr>
            <w:r>
              <w:t xml:space="preserve">380 km, Euro 6 Truck (16-32t)</w:t>
            </w:r>
          </w:p>
        </w:tc>
        <w:tc>
          <w:tcPr/>
          <w:p>
            <w:pPr>
              <w:pStyle w:val="Compact"/>
              <w:jc w:val="left"/>
            </w:pPr>
            <w:r>
              <w:t xml:space="preserve">Primary BOM / Secondary LCI</w:t>
            </w:r>
          </w:p>
        </w:tc>
      </w:tr>
      <w:tr>
        <w:tc>
          <w:tcPr/>
          <w:p>
            <w:pPr>
              <w:pStyle w:val="Compact"/>
              <w:jc w:val="left"/>
            </w:pPr>
            <w:r>
              <w:t xml:space="preserve">Internal Power Cabling &amp; Busbars</w:t>
            </w:r>
          </w:p>
        </w:tc>
        <w:tc>
          <w:tcPr/>
          <w:p>
            <w:pPr>
              <w:pStyle w:val="Compact"/>
              <w:jc w:val="left"/>
            </w:pPr>
            <w:r>
              <w:t xml:space="preserve">High-conductivity OFHC Copper (insulated)</w:t>
            </w:r>
          </w:p>
        </w:tc>
        <w:tc>
          <w:tcPr/>
          <w:p>
            <w:pPr>
              <w:pStyle w:val="Compact"/>
              <w:jc w:val="left"/>
            </w:pPr>
            <w:r>
              <w:t xml:space="preserve">2.20</w:t>
            </w:r>
          </w:p>
        </w:tc>
        <w:tc>
          <w:tcPr/>
          <w:p>
            <w:pPr>
              <w:pStyle w:val="Compact"/>
              <w:jc w:val="left"/>
            </w:pPr>
            <w:r>
              <w:t xml:space="preserve">Poland (Wroclaw)</w:t>
            </w:r>
          </w:p>
        </w:tc>
        <w:tc>
          <w:tcPr/>
          <w:p>
            <w:pPr>
              <w:pStyle w:val="Compact"/>
              <w:jc w:val="left"/>
            </w:pPr>
            <w:r>
              <w:t xml:space="preserve">890 km, Euro 6 Truck (&gt;32t)</w:t>
            </w:r>
          </w:p>
        </w:tc>
        <w:tc>
          <w:tcPr/>
          <w:p>
            <w:pPr>
              <w:pStyle w:val="Compact"/>
              <w:jc w:val="left"/>
            </w:pPr>
            <w:r>
              <w:t xml:space="preserve">Primary BOM / Secondary LCI</w:t>
            </w:r>
          </w:p>
        </w:tc>
      </w:tr>
      <w:tr>
        <w:tc>
          <w:tcPr/>
          <w:p>
            <w:pPr>
              <w:pStyle w:val="Compact"/>
              <w:jc w:val="left"/>
            </w:pPr>
            <w:r>
              <w:t xml:space="preserve">User Interface (7" TFT Display + RFID)</w:t>
            </w:r>
          </w:p>
        </w:tc>
        <w:tc>
          <w:tcPr/>
          <w:p>
            <w:pPr>
              <w:pStyle w:val="Compact"/>
              <w:jc w:val="left"/>
            </w:pPr>
            <w:r>
              <w:t xml:space="preserve">Glass, Liquid Crystal, Backlight, PCB</w:t>
            </w:r>
          </w:p>
        </w:tc>
        <w:tc>
          <w:tcPr/>
          <w:p>
            <w:pPr>
              <w:pStyle w:val="Compact"/>
              <w:jc w:val="left"/>
            </w:pPr>
            <w:r>
              <w:t xml:space="preserve">0.70</w:t>
            </w:r>
          </w:p>
        </w:tc>
        <w:tc>
          <w:tcPr/>
          <w:p>
            <w:pPr>
              <w:pStyle w:val="Compact"/>
              <w:jc w:val="left"/>
            </w:pPr>
            <w:r>
              <w:t xml:space="preserve">Europe Hub (Rotterdam)</w:t>
            </w:r>
          </w:p>
        </w:tc>
        <w:tc>
          <w:tcPr/>
          <w:p>
            <w:pPr>
              <w:pStyle w:val="Compact"/>
              <w:jc w:val="left"/>
            </w:pPr>
            <w:r>
              <w:t xml:space="preserve">95 km, Euro 6 Truck (7.5-16t)</w:t>
            </w:r>
          </w:p>
        </w:tc>
        <w:tc>
          <w:tcPr/>
          <w:p>
            <w:pPr>
              <w:pStyle w:val="Compact"/>
              <w:jc w:val="left"/>
            </w:pPr>
            <w:r>
              <w:t xml:space="preserve">Primary BOM / Secondary LCI</w:t>
            </w:r>
          </w:p>
        </w:tc>
      </w:tr>
      <w:tr>
        <w:tc>
          <w:tcPr/>
          <w:p>
            <w:pPr>
              <w:pStyle w:val="Compact"/>
              <w:jc w:val="left"/>
            </w:pPr>
            <w:r>
              <w:t xml:space="preserve">Corrugated Shipping Carton</w:t>
            </w:r>
          </w:p>
        </w:tc>
        <w:tc>
          <w:tcPr/>
          <w:p>
            <w:pPr>
              <w:pStyle w:val="Compact"/>
              <w:jc w:val="left"/>
            </w:pPr>
            <w:r>
              <w:t xml:space="preserve">Recycled Kraftliner Cardboard (85% recycled)</w:t>
            </w:r>
          </w:p>
        </w:tc>
        <w:tc>
          <w:tcPr/>
          <w:p>
            <w:pPr>
              <w:pStyle w:val="Compact"/>
              <w:jc w:val="left"/>
            </w:pPr>
            <w:r>
              <w:t xml:space="preserve">2.40</w:t>
            </w:r>
          </w:p>
        </w:tc>
        <w:tc>
          <w:tcPr/>
          <w:p>
            <w:pPr>
              <w:pStyle w:val="Compact"/>
              <w:jc w:val="left"/>
            </w:pPr>
            <w:r>
              <w:t xml:space="preserve">Netherlands (Brabant)</w:t>
            </w:r>
          </w:p>
        </w:tc>
        <w:tc>
          <w:tcPr/>
          <w:p>
            <w:pPr>
              <w:pStyle w:val="Compact"/>
              <w:jc w:val="left"/>
            </w:pPr>
            <w:r>
              <w:t xml:space="preserve">45 km, Euro 6 Truck (&gt;32t)</w:t>
            </w:r>
          </w:p>
        </w:tc>
        <w:tc>
          <w:tcPr/>
          <w:p>
            <w:pPr>
              <w:pStyle w:val="Compact"/>
              <w:jc w:val="left"/>
            </w:pPr>
            <w:r>
              <w:t xml:space="preserve">Primary Supplier Data</w:t>
            </w:r>
          </w:p>
        </w:tc>
      </w:tr>
      <w:tr>
        <w:tc>
          <w:tcPr/>
          <w:p>
            <w:pPr>
              <w:pStyle w:val="Compact"/>
              <w:jc w:val="left"/>
            </w:pPr>
            <w:r>
              <w:t xml:space="preserve">Molded Pulp Protective Inserts</w:t>
            </w:r>
          </w:p>
        </w:tc>
        <w:tc>
          <w:tcPr/>
          <w:p>
            <w:pPr>
              <w:pStyle w:val="Compact"/>
              <w:jc w:val="left"/>
            </w:pPr>
            <w:r>
              <w:t xml:space="preserve">Molded Recycled Wood Pulp</w:t>
            </w:r>
          </w:p>
        </w:tc>
        <w:tc>
          <w:tcPr/>
          <w:p>
            <w:pPr>
              <w:pStyle w:val="Compact"/>
              <w:jc w:val="left"/>
            </w:pPr>
            <w:r>
              <w:t xml:space="preserve">1.35</w:t>
            </w:r>
          </w:p>
        </w:tc>
        <w:tc>
          <w:tcPr/>
          <w:p>
            <w:pPr>
              <w:pStyle w:val="Compact"/>
              <w:jc w:val="left"/>
            </w:pPr>
            <w:r>
              <w:t xml:space="preserve">Netherlands</w:t>
            </w:r>
          </w:p>
        </w:tc>
        <w:tc>
          <w:tcPr/>
          <w:p>
            <w:pPr>
              <w:pStyle w:val="Compact"/>
              <w:jc w:val="left"/>
            </w:pPr>
            <w:r>
              <w:t xml:space="preserve">60 km, Euro 6 Truck (&gt;32t)</w:t>
            </w:r>
          </w:p>
        </w:tc>
        <w:tc>
          <w:tcPr/>
          <w:p>
            <w:pPr>
              <w:pStyle w:val="Compact"/>
              <w:jc w:val="left"/>
            </w:pPr>
            <w:r>
              <w:t xml:space="preserve">Primary Supplier Data</w:t>
            </w:r>
          </w:p>
        </w:tc>
      </w:tr>
      <w:tr>
        <w:tc>
          <w:tcPr>
            <w:gridSpan w:val="2"/>
          </w:tcPr>
          <w:p>
            <w:pPr>
              <w:pStyle w:val="Compact"/>
              <w:jc w:val="left"/>
            </w:pPr>
            <w:r>
              <w:t xml:space="preserve">Total Physical Packaged Gate Mass</w:t>
            </w:r>
          </w:p>
        </w:tc>
        <w:tc>
          <w:tcPr/>
          <w:p>
            <w:pPr>
              <w:pStyle w:val="Compact"/>
              <w:jc w:val="left"/>
            </w:pPr>
            <w:r>
              <w:t xml:space="preserve">33.15</w:t>
            </w:r>
          </w:p>
        </w:tc>
        <w:tc>
          <w:tcPr>
            <w:gridSpan w:val="3"/>
          </w:tcPr>
          <w:p>
            <w:pPr>
              <w:pStyle w:val="Compact"/>
              <w:jc w:val="left"/>
            </w:pPr>
            <w:r>
              <w:t xml:space="preserve">100% Bill-of-Materials Coverage (97.4% Scope 3 Data Completeness)</w:t>
            </w:r>
          </w:p>
        </w:tc>
      </w:tr>
    </w:tbl>
    <w:bookmarkEnd w:id="26"/>
    <w:bookmarkStart w:id="27" w:name="Xe59d51cb4fe7c281ca61cf493246f22f42911b3"/>
    <w:p>
      <w:pPr>
        <w:pStyle w:val="Heading3"/>
      </w:pPr>
      <w:r>
        <w:t xml:space="preserve">2.2 Netherlands Facility Direct Energy &amp; Operational Inputs (Per Unit)</w:t>
      </w:r>
    </w:p>
    <w:p>
      <w:pPr>
        <w:numPr>
          <w:ilvl w:val="0"/>
          <w:numId w:val="1003"/>
        </w:numPr>
        <w:pStyle w:val="Compact"/>
      </w:pPr>
      <w:r>
        <w:rPr>
          <w:bCs/>
          <w:b/>
        </w:rPr>
        <w:t xml:space="preserve">Direct Electricity Consumption (Final Assembly &amp; High-Voltage Testing):</w:t>
      </w:r>
      <w:r>
        <w:t xml:space="preserve"> </w:t>
      </w:r>
      <w:r>
        <w:t xml:space="preserve">14.20 kWh per unit. The facility contracts 100% Netherlands onshore wind energy backed by certified Guarantees of Origin (EECS-GoO). Grid connection is through the Dutch regional 10 kV network.</w:t>
      </w:r>
    </w:p>
    <w:p>
      <w:pPr>
        <w:numPr>
          <w:ilvl w:val="0"/>
          <w:numId w:val="1003"/>
        </w:numPr>
        <w:pStyle w:val="Compact"/>
      </w:pPr>
      <w:r>
        <w:rPr>
          <w:bCs/>
          <w:b/>
        </w:rPr>
        <w:t xml:space="preserve">Natural Gas Consumption (Facility Ambient Space Heating Allocated):</w:t>
      </w:r>
      <w:r>
        <w:t xml:space="preserve"> </w:t>
      </w:r>
      <w:r>
        <w:t xml:space="preserve">0.16 m</w:t>
      </w:r>
      <w:r>
        <w:rPr>
          <w:vertAlign w:val="superscript"/>
        </w:rPr>
        <w:t xml:space="preserve">3</w:t>
      </w:r>
      <w:r>
        <w:t xml:space="preserve"> </w:t>
      </w:r>
      <w:r>
        <w:t xml:space="preserve">(equivalent to 1.58 kWh gross calorific value) per unit, derived from annual metered building heating consumption allocated by production occupancy.</w:t>
      </w:r>
    </w:p>
    <w:p>
      <w:pPr>
        <w:numPr>
          <w:ilvl w:val="0"/>
          <w:numId w:val="1003"/>
        </w:numPr>
        <w:pStyle w:val="Compact"/>
      </w:pPr>
      <w:r>
        <w:rPr>
          <w:bCs/>
          <w:b/>
        </w:rPr>
        <w:t xml:space="preserve">Compressed Air &amp; Pneumatics:</w:t>
      </w:r>
      <w:r>
        <w:t xml:space="preserve"> </w:t>
      </w:r>
      <w:r>
        <w:t xml:space="preserve">Generated on-site, fully integrated into the metered electricity consumption.</w:t>
      </w:r>
    </w:p>
    <w:p>
      <w:pPr>
        <w:numPr>
          <w:ilvl w:val="0"/>
          <w:numId w:val="1003"/>
        </w:numPr>
        <w:pStyle w:val="Compact"/>
      </w:pPr>
      <w:r>
        <w:rPr>
          <w:bCs/>
          <w:b/>
        </w:rPr>
        <w:t xml:space="preserve">Fugitive Refrigerant Losses:</w:t>
      </w:r>
      <w:r>
        <w:t xml:space="preserve"> </w:t>
      </w:r>
      <w:r>
        <w:t xml:space="preserve">Heat pump HVAC testing and building climate control leakage allocated at 0.00015 kg R-32 per unit.</w:t>
      </w:r>
    </w:p>
    <w:p>
      <w:r>
        <w:pict>
          <v:rect style="width:0;height:1.5pt" o:hralign="center" o:hrstd="t" o:hr="t"/>
        </w:pict>
      </w:r>
    </w:p>
    <w:bookmarkEnd w:id="27"/>
    <w:bookmarkEnd w:id="28"/>
    <w:bookmarkStart w:id="33" w:name="X356e44b4d0d74c53e7619bd6f7fc69371a68761"/>
    <w:p>
      <w:pPr>
        <w:pStyle w:val="Heading1"/>
      </w:pPr>
      <w:r>
        <w:t xml:space="preserve">Step 4: Emission Calculation &amp; Life Cycle Impact Assessment</w:t>
      </w:r>
    </w:p>
    <w:p>
      <w:pPr>
        <w:pStyle w:val="FirstParagraph"/>
      </w:pPr>
      <w:r>
        <w:t xml:space="preserve">Greenhouse gas emissions are computed using the formula:</w:t>
      </w:r>
      <w:r>
        <w:br/>
      </w:r>
      <w:r>
        <w:t xml:space="preserve"> </w:t>
      </w:r>
      <w:r>
        <w:t xml:space="preserve">Emissions (kg CO₂e) = Activity Data × Emission Factor (EF)</w:t>
      </w:r>
      <w:r>
        <w:t xml:space="preserve"> </w:t>
      </w:r>
      <w:r>
        <w:br/>
      </w:r>
      <w:r>
        <w:t xml:space="preserve">All Global Warming Potentials (GWPs) are based on the IPCC 6th Assessment Report (AR6) 100-year metrics (including climate-carbon feedbacks).</w:t>
      </w:r>
    </w:p>
    <w:bookmarkStart w:id="29" w:name="X3a66d6bf93b08a587468ed4b7dcfed401522f7f"/>
    <w:p>
      <w:pPr>
        <w:pStyle w:val="Heading3"/>
      </w:pPr>
      <w:r>
        <w:t xml:space="preserve">4.1 Upstream Scope 3 (Category 1: Purchased Goods &amp; Services)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Component / Material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Unit</w:t>
            </w:r>
          </w:p>
        </w:tc>
        <w:tc>
          <w:tcPr/>
          <w:p>
            <w:pPr>
              <w:pStyle w:val="Compact"/>
              <w:jc w:val="left"/>
            </w:pPr>
            <w:r>
              <w:t xml:space="preserve">EF Database Source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t xml:space="preserve">Aluminum Enclosure (European Extrusion, 45% scrap)</w:t>
            </w:r>
          </w:p>
        </w:tc>
        <w:tc>
          <w:tcPr/>
          <w:p>
            <w:pPr>
              <w:pStyle w:val="Compact"/>
              <w:jc w:val="left"/>
            </w:pPr>
            <w:r>
              <w:t xml:space="preserve">11.85</w:t>
            </w:r>
          </w:p>
        </w:tc>
        <w:tc>
          <w:tcPr/>
          <w:p>
            <w:pPr>
              <w:pStyle w:val="Compact"/>
              <w:jc w:val="left"/>
            </w:pPr>
            <w:r>
              <w:t xml:space="preserve">kg</w:t>
            </w:r>
          </w:p>
        </w:tc>
        <w:tc>
          <w:tcPr/>
          <w:p>
            <w:pPr>
              <w:pStyle w:val="Compact"/>
              <w:jc w:val="left"/>
            </w:pPr>
            <w:r>
              <w:t xml:space="preserve">7.120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 (Europe without CH)</w:t>
            </w:r>
          </w:p>
        </w:tc>
        <w:tc>
          <w:tcPr/>
          <w:p>
            <w:pPr>
              <w:pStyle w:val="Compact"/>
              <w:jc w:val="left"/>
            </w:pPr>
            <w:r>
              <w:t xml:space="preserve">84.37</w:t>
            </w:r>
          </w:p>
        </w:tc>
      </w:tr>
      <w:tr>
        <w:tc>
          <w:tcPr/>
          <w:p>
            <w:pPr>
              <w:pStyle w:val="Compact"/>
              <w:jc w:val="left"/>
            </w:pPr>
            <w:r>
              <w:t xml:space="preserve">Galvanized Steel Chassis (DX51D)</w:t>
            </w:r>
          </w:p>
        </w:tc>
        <w:tc>
          <w:tcPr/>
          <w:p>
            <w:pPr>
              <w:pStyle w:val="Compact"/>
              <w:jc w:val="left"/>
            </w:pPr>
            <w:r>
              <w:t xml:space="preserve">5.40</w:t>
            </w:r>
          </w:p>
        </w:tc>
        <w:tc>
          <w:tcPr/>
          <w:p>
            <w:pPr>
              <w:pStyle w:val="Compact"/>
              <w:jc w:val="left"/>
            </w:pPr>
            <w:r>
              <w:t xml:space="preserve">kg</w:t>
            </w:r>
          </w:p>
        </w:tc>
        <w:tc>
          <w:tcPr/>
          <w:p>
            <w:pPr>
              <w:pStyle w:val="Compact"/>
              <w:jc w:val="left"/>
            </w:pPr>
            <w:r>
              <w:t xml:space="preserve">2.380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worldsteel / Ecoinvent v3.10</w:t>
            </w:r>
          </w:p>
        </w:tc>
        <w:tc>
          <w:tcPr/>
          <w:p>
            <w:pPr>
              <w:pStyle w:val="Compact"/>
              <w:jc w:val="left"/>
            </w:pPr>
            <w:r>
              <w:t xml:space="preserve">12.85</w:t>
            </w:r>
          </w:p>
        </w:tc>
      </w:tr>
      <w:tr>
        <w:tc>
          <w:tcPr/>
          <w:p>
            <w:pPr>
              <w:pStyle w:val="Compact"/>
              <w:jc w:val="left"/>
            </w:pPr>
            <w:r>
              <w:t xml:space="preserve">Polycarbonate / PBT Blend (Front Fascia)</w:t>
            </w:r>
          </w:p>
        </w:tc>
        <w:tc>
          <w:tcPr/>
          <w:p>
            <w:pPr>
              <w:pStyle w:val="Compact"/>
              <w:jc w:val="left"/>
            </w:pPr>
            <w:r>
              <w:t xml:space="preserve">3.10</w:t>
            </w:r>
          </w:p>
        </w:tc>
        <w:tc>
          <w:tcPr/>
          <w:p>
            <w:pPr>
              <w:pStyle w:val="Compact"/>
              <w:jc w:val="left"/>
            </w:pPr>
            <w:r>
              <w:t xml:space="preserve">kg</w:t>
            </w:r>
          </w:p>
        </w:tc>
        <w:tc>
          <w:tcPr/>
          <w:p>
            <w:pPr>
              <w:pStyle w:val="Compact"/>
              <w:jc w:val="left"/>
            </w:pPr>
            <w:r>
              <w:t xml:space="preserve">5.250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PlasticsEurope / Ecoinvent v3.10</w:t>
            </w:r>
          </w:p>
        </w:tc>
        <w:tc>
          <w:tcPr/>
          <w:p>
            <w:pPr>
              <w:pStyle w:val="Compact"/>
              <w:jc w:val="left"/>
            </w:pPr>
            <w:r>
              <w:t xml:space="preserve">16.28</w:t>
            </w:r>
          </w:p>
        </w:tc>
      </w:tr>
      <w:tr>
        <w:tc>
          <w:tcPr/>
          <w:p>
            <w:pPr>
              <w:pStyle w:val="Compact"/>
              <w:jc w:val="left"/>
            </w:pPr>
            <w:r>
              <w:t xml:space="preserve">Polyamide 66 (GF 30% Brackets)</w:t>
            </w:r>
          </w:p>
        </w:tc>
        <w:tc>
          <w:tcPr/>
          <w:p>
            <w:pPr>
              <w:pStyle w:val="Compact"/>
              <w:jc w:val="left"/>
            </w:pPr>
            <w:r>
              <w:t xml:space="preserve">1.45</w:t>
            </w:r>
          </w:p>
        </w:tc>
        <w:tc>
          <w:tcPr/>
          <w:p>
            <w:pPr>
              <w:pStyle w:val="Compact"/>
              <w:jc w:val="left"/>
            </w:pPr>
            <w:r>
              <w:t xml:space="preserve">kg</w:t>
            </w:r>
          </w:p>
        </w:tc>
        <w:tc>
          <w:tcPr/>
          <w:p>
            <w:pPr>
              <w:pStyle w:val="Compact"/>
              <w:jc w:val="left"/>
            </w:pPr>
            <w:r>
              <w:t xml:space="preserve">6.420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9.31</w:t>
            </w:r>
          </w:p>
        </w:tc>
      </w:tr>
      <w:tr>
        <w:tc>
          <w:tcPr/>
          <w:p>
            <w:pPr>
              <w:pStyle w:val="Compact"/>
              <w:jc w:val="left"/>
            </w:pPr>
            <w:r>
              <w:t xml:space="preserve">Controller &amp; Comm PCBA (Multilayer)</w:t>
            </w:r>
          </w:p>
        </w:tc>
        <w:tc>
          <w:tcPr/>
          <w:p>
            <w:pPr>
              <w:pStyle w:val="Compact"/>
              <w:jc w:val="left"/>
            </w:pPr>
            <w:r>
              <w:t xml:space="preserve">0.82</w:t>
            </w:r>
          </w:p>
        </w:tc>
        <w:tc>
          <w:tcPr/>
          <w:p>
            <w:pPr>
              <w:pStyle w:val="Compact"/>
              <w:jc w:val="left"/>
            </w:pPr>
            <w:r>
              <w:t xml:space="preserve">kg</w:t>
            </w:r>
          </w:p>
        </w:tc>
        <w:tc>
          <w:tcPr/>
          <w:p>
            <w:pPr>
              <w:pStyle w:val="Compact"/>
              <w:jc w:val="left"/>
            </w:pPr>
            <w:r>
              <w:t xml:space="preserve">38.400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 (Surface mount PCBA)</w:t>
            </w:r>
          </w:p>
        </w:tc>
        <w:tc>
          <w:tcPr/>
          <w:p>
            <w:pPr>
              <w:pStyle w:val="Compact"/>
              <w:jc w:val="left"/>
            </w:pPr>
            <w:r>
              <w:t xml:space="preserve">31.49</w:t>
            </w:r>
          </w:p>
        </w:tc>
      </w:tr>
      <w:tr>
        <w:tc>
          <w:tcPr/>
          <w:p>
            <w:pPr>
              <w:pStyle w:val="Compact"/>
              <w:jc w:val="left"/>
            </w:pPr>
            <w:r>
              <w:t xml:space="preserve">Power Distribution PCBA &amp; Current Sensors</w:t>
            </w:r>
          </w:p>
        </w:tc>
        <w:tc>
          <w:tcPr/>
          <w:p>
            <w:pPr>
              <w:pStyle w:val="Compact"/>
              <w:jc w:val="left"/>
            </w:pPr>
            <w:r>
              <w:t xml:space="preserve">1.15</w:t>
            </w:r>
          </w:p>
        </w:tc>
        <w:tc>
          <w:tcPr/>
          <w:p>
            <w:pPr>
              <w:pStyle w:val="Compact"/>
              <w:jc w:val="left"/>
            </w:pPr>
            <w:r>
              <w:t xml:space="preserve">kg</w:t>
            </w:r>
          </w:p>
        </w:tc>
        <w:tc>
          <w:tcPr/>
          <w:p>
            <w:pPr>
              <w:pStyle w:val="Compact"/>
              <w:jc w:val="left"/>
            </w:pPr>
            <w:r>
              <w:t xml:space="preserve">29.100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 (Mounted PCBA)</w:t>
            </w:r>
          </w:p>
        </w:tc>
        <w:tc>
          <w:tcPr/>
          <w:p>
            <w:pPr>
              <w:pStyle w:val="Compact"/>
              <w:jc w:val="left"/>
            </w:pPr>
            <w:r>
              <w:t xml:space="preserve">33.47</w:t>
            </w:r>
          </w:p>
        </w:tc>
      </w:tr>
      <w:tr>
        <w:tc>
          <w:tcPr/>
          <w:p>
            <w:pPr>
              <w:pStyle w:val="Compact"/>
              <w:jc w:val="left"/>
            </w:pPr>
            <w:r>
              <w:t xml:space="preserve">Integrated Silicon Microcontrollers / ICs</w:t>
            </w:r>
          </w:p>
        </w:tc>
        <w:tc>
          <w:tcPr/>
          <w:p>
            <w:pPr>
              <w:pStyle w:val="Compact"/>
              <w:jc w:val="left"/>
            </w:pPr>
            <w:r>
              <w:t xml:space="preserve">0.28</w:t>
            </w:r>
          </w:p>
        </w:tc>
        <w:tc>
          <w:tcPr/>
          <w:p>
            <w:pPr>
              <w:pStyle w:val="Compact"/>
              <w:jc w:val="left"/>
            </w:pPr>
            <w:r>
              <w:t xml:space="preserve">kg</w:t>
            </w:r>
          </w:p>
        </w:tc>
        <w:tc>
          <w:tcPr/>
          <w:p>
            <w:pPr>
              <w:pStyle w:val="Compact"/>
              <w:jc w:val="left"/>
            </w:pPr>
            <w:r>
              <w:t xml:space="preserve">82.500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Semiconductor Industry Assoc. / Ecoinvent</w:t>
            </w:r>
          </w:p>
        </w:tc>
        <w:tc>
          <w:tcPr/>
          <w:p>
            <w:pPr>
              <w:pStyle w:val="Compact"/>
              <w:jc w:val="left"/>
            </w:pPr>
            <w:r>
              <w:t xml:space="preserve">23.10</w:t>
            </w:r>
          </w:p>
        </w:tc>
      </w:tr>
      <w:tr>
        <w:tc>
          <w:tcPr/>
          <w:p>
            <w:pPr>
              <w:pStyle w:val="Compact"/>
              <w:jc w:val="left"/>
            </w:pPr>
            <w:r>
              <w:t xml:space="preserve">Type 2 AC Sockets, Silver/Copper Pins &amp; Relays</w:t>
            </w:r>
          </w:p>
        </w:tc>
        <w:tc>
          <w:tcPr/>
          <w:p>
            <w:pPr>
              <w:pStyle w:val="Compact"/>
              <w:jc w:val="left"/>
            </w:pPr>
            <w:r>
              <w:t xml:space="preserve">2.45</w:t>
            </w:r>
          </w:p>
        </w:tc>
        <w:tc>
          <w:tcPr/>
          <w:p>
            <w:pPr>
              <w:pStyle w:val="Compact"/>
              <w:jc w:val="left"/>
            </w:pPr>
            <w:r>
              <w:t xml:space="preserve">kg</w:t>
            </w:r>
          </w:p>
        </w:tc>
        <w:tc>
          <w:tcPr/>
          <w:p>
            <w:pPr>
              <w:pStyle w:val="Compact"/>
              <w:jc w:val="left"/>
            </w:pPr>
            <w:r>
              <w:t xml:space="preserve">4.850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 (Switchgear components)</w:t>
            </w:r>
          </w:p>
        </w:tc>
        <w:tc>
          <w:tcPr/>
          <w:p>
            <w:pPr>
              <w:pStyle w:val="Compact"/>
              <w:jc w:val="left"/>
            </w:pPr>
            <w:r>
              <w:t xml:space="preserve">11.88</w:t>
            </w:r>
          </w:p>
        </w:tc>
      </w:tr>
      <w:tr>
        <w:tc>
          <w:tcPr/>
          <w:p>
            <w:pPr>
              <w:pStyle w:val="Compact"/>
              <w:jc w:val="left"/>
            </w:pPr>
            <w:r>
              <w:t xml:space="preserve">Copper Internal Busbars &amp; Power Wires</w:t>
            </w:r>
          </w:p>
        </w:tc>
        <w:tc>
          <w:tcPr/>
          <w:p>
            <w:pPr>
              <w:pStyle w:val="Compact"/>
              <w:jc w:val="left"/>
            </w:pPr>
            <w:r>
              <w:t xml:space="preserve">2.20</w:t>
            </w:r>
          </w:p>
        </w:tc>
        <w:tc>
          <w:tcPr/>
          <w:p>
            <w:pPr>
              <w:pStyle w:val="Compact"/>
              <w:jc w:val="left"/>
            </w:pPr>
            <w:r>
              <w:t xml:space="preserve">kg</w:t>
            </w:r>
          </w:p>
        </w:tc>
        <w:tc>
          <w:tcPr/>
          <w:p>
            <w:pPr>
              <w:pStyle w:val="Compact"/>
              <w:jc w:val="left"/>
            </w:pPr>
            <w:r>
              <w:t xml:space="preserve">4.920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European Copper Institute (ECI 2024)</w:t>
            </w:r>
          </w:p>
        </w:tc>
        <w:tc>
          <w:tcPr/>
          <w:p>
            <w:pPr>
              <w:pStyle w:val="Compact"/>
              <w:jc w:val="left"/>
            </w:pPr>
            <w:r>
              <w:t xml:space="preserve">10.82</w:t>
            </w:r>
          </w:p>
        </w:tc>
      </w:tr>
      <w:tr>
        <w:tc>
          <w:tcPr/>
          <w:p>
            <w:pPr>
              <w:pStyle w:val="Compact"/>
              <w:jc w:val="left"/>
            </w:pPr>
            <w:r>
              <w:t xml:space="preserve">7-inch Graphic Display Module &amp; Touch Controller</w:t>
            </w:r>
          </w:p>
        </w:tc>
        <w:tc>
          <w:tcPr/>
          <w:p>
            <w:pPr>
              <w:pStyle w:val="Compact"/>
              <w:jc w:val="left"/>
            </w:pPr>
            <w:r>
              <w:t xml:space="preserve">0.70</w:t>
            </w:r>
          </w:p>
        </w:tc>
        <w:tc>
          <w:tcPr/>
          <w:p>
            <w:pPr>
              <w:pStyle w:val="Compact"/>
              <w:jc w:val="left"/>
            </w:pPr>
            <w:r>
              <w:t xml:space="preserve">kg</w:t>
            </w:r>
          </w:p>
        </w:tc>
        <w:tc>
          <w:tcPr/>
          <w:p>
            <w:pPr>
              <w:pStyle w:val="Compact"/>
              <w:jc w:val="left"/>
            </w:pPr>
            <w:r>
              <w:t xml:space="preserve">13.200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 (LCD flat panel)</w:t>
            </w:r>
          </w:p>
        </w:tc>
        <w:tc>
          <w:tcPr/>
          <w:p>
            <w:pPr>
              <w:pStyle w:val="Compact"/>
              <w:jc w:val="left"/>
            </w:pPr>
            <w:r>
              <w:t xml:space="preserve">9.24</w:t>
            </w:r>
          </w:p>
        </w:tc>
      </w:tr>
      <w:tr>
        <w:tc>
          <w:tcPr/>
          <w:p>
            <w:pPr>
              <w:pStyle w:val="Compact"/>
              <w:jc w:val="left"/>
            </w:pPr>
            <w:r>
              <w:t xml:space="preserve">Corrugated Cardboard Box (Fossil Lifecycle Burden)</w:t>
            </w:r>
          </w:p>
        </w:tc>
        <w:tc>
          <w:tcPr/>
          <w:p>
            <w:pPr>
              <w:pStyle w:val="Compact"/>
              <w:jc w:val="left"/>
            </w:pPr>
            <w:r>
              <w:t xml:space="preserve">2.40</w:t>
            </w:r>
          </w:p>
        </w:tc>
        <w:tc>
          <w:tcPr/>
          <w:p>
            <w:pPr>
              <w:pStyle w:val="Compact"/>
              <w:jc w:val="left"/>
            </w:pPr>
            <w:r>
              <w:t xml:space="preserve">kg</w:t>
            </w:r>
          </w:p>
        </w:tc>
        <w:tc>
          <w:tcPr/>
          <w:p>
            <w:pPr>
              <w:pStyle w:val="Compact"/>
              <w:jc w:val="left"/>
            </w:pPr>
            <w:r>
              <w:t xml:space="preserve">0.840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FEFCO 2024 / DEFRA 2025</w:t>
            </w:r>
          </w:p>
        </w:tc>
        <w:tc>
          <w:tcPr/>
          <w:p>
            <w:pPr>
              <w:pStyle w:val="Compact"/>
              <w:jc w:val="left"/>
            </w:pPr>
            <w:r>
              <w:t xml:space="preserve">2.02</w:t>
            </w:r>
          </w:p>
        </w:tc>
      </w:tr>
      <w:tr>
        <w:tc>
          <w:tcPr/>
          <w:p>
            <w:pPr>
              <w:pStyle w:val="Compact"/>
              <w:jc w:val="left"/>
            </w:pPr>
            <w:r>
              <w:t xml:space="preserve">Molded Recycled Pulp Cushioning (Fossil Burden)</w:t>
            </w:r>
          </w:p>
        </w:tc>
        <w:tc>
          <w:tcPr/>
          <w:p>
            <w:pPr>
              <w:pStyle w:val="Compact"/>
              <w:jc w:val="left"/>
            </w:pPr>
            <w:r>
              <w:t xml:space="preserve">1.35</w:t>
            </w:r>
          </w:p>
        </w:tc>
        <w:tc>
          <w:tcPr/>
          <w:p>
            <w:pPr>
              <w:pStyle w:val="Compact"/>
              <w:jc w:val="left"/>
            </w:pPr>
            <w:r>
              <w:t xml:space="preserve">kg</w:t>
            </w:r>
          </w:p>
        </w:tc>
        <w:tc>
          <w:tcPr/>
          <w:p>
            <w:pPr>
              <w:pStyle w:val="Compact"/>
              <w:jc w:val="left"/>
            </w:pPr>
            <w:r>
              <w:t xml:space="preserve">0.680</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0.92</w:t>
            </w:r>
          </w:p>
        </w:tc>
      </w:tr>
      <w:tr>
        <w:tc>
          <w:tcPr>
            <w:gridSpan w:val="6"/>
          </w:tcPr>
          <w:p>
            <w:pPr>
              <w:pStyle w:val="Compact"/>
              <w:jc w:val="left"/>
            </w:pPr>
            <w:r>
              <w:t xml:space="preserve">Subtotal Scope 3, Category 1 (Purchased Raw Materials &amp; Components)</w:t>
            </w:r>
          </w:p>
        </w:tc>
        <w:tc>
          <w:tcPr/>
          <w:p>
            <w:pPr>
              <w:pStyle w:val="Compact"/>
              <w:jc w:val="left"/>
            </w:pPr>
            <w:r>
              <w:t xml:space="preserve">245.75</w:t>
            </w:r>
          </w:p>
        </w:tc>
      </w:tr>
    </w:tbl>
    <w:bookmarkEnd w:id="29"/>
    <w:bookmarkStart w:id="30" w:name="inbound-logistics-scope-3-category-4"/>
    <w:p>
      <w:pPr>
        <w:pStyle w:val="Heading3"/>
      </w:pPr>
      <w:r>
        <w:t xml:space="preserve">4.2 Inbound Logistics (Scope 3, Category 4)</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Freight Segment</w:t>
            </w:r>
          </w:p>
        </w:tc>
        <w:tc>
          <w:tcPr/>
          <w:p>
            <w:pPr>
              <w:pStyle w:val="Compact"/>
              <w:jc w:val="left"/>
            </w:pPr>
            <w:r>
              <w:t xml:space="preserve">Mass (t)</w:t>
            </w:r>
          </w:p>
        </w:tc>
        <w:tc>
          <w:tcPr/>
          <w:p>
            <w:pPr>
              <w:pStyle w:val="Compact"/>
              <w:jc w:val="left"/>
            </w:pPr>
            <w:r>
              <w:t xml:space="preserve">Distance (km)</w:t>
            </w:r>
          </w:p>
        </w:tc>
        <w:tc>
          <w:tcPr/>
          <w:p>
            <w:pPr>
              <w:pStyle w:val="Compact"/>
              <w:jc w:val="left"/>
            </w:pPr>
            <w:r>
              <w:t xml:space="preserve">Freight Volume (t·km)</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t xml:space="preserve">Aluminum Profiles (France/Germany → NL)</w:t>
            </w:r>
          </w:p>
        </w:tc>
        <w:tc>
          <w:tcPr/>
          <w:p>
            <w:pPr>
              <w:pStyle w:val="Compact"/>
              <w:jc w:val="left"/>
            </w:pPr>
            <w:r>
              <w:t xml:space="preserve">0.01185</w:t>
            </w:r>
          </w:p>
        </w:tc>
        <w:tc>
          <w:tcPr/>
          <w:p>
            <w:pPr>
              <w:pStyle w:val="Compact"/>
              <w:jc w:val="left"/>
            </w:pPr>
            <w:r>
              <w:t xml:space="preserve">580</w:t>
            </w:r>
          </w:p>
        </w:tc>
        <w:tc>
          <w:tcPr/>
          <w:p>
            <w:pPr>
              <w:pStyle w:val="Compact"/>
              <w:jc w:val="left"/>
            </w:pPr>
            <w:r>
              <w:t xml:space="preserve">6.873</w:t>
            </w:r>
          </w:p>
        </w:tc>
        <w:tc>
          <w:tcPr/>
          <w:p>
            <w:pPr>
              <w:pStyle w:val="Compact"/>
              <w:jc w:val="left"/>
            </w:pPr>
            <w:r>
              <w:t xml:space="preserve">0.0882 kg/t·km</w:t>
            </w:r>
          </w:p>
        </w:tc>
        <w:tc>
          <w:tcPr/>
          <w:p>
            <w:pPr>
              <w:pStyle w:val="Compact"/>
              <w:jc w:val="left"/>
            </w:pPr>
            <w:r>
              <w:t xml:space="preserve">DEFRA / GLEC Euro 6 &gt;32t</w:t>
            </w:r>
          </w:p>
        </w:tc>
        <w:tc>
          <w:tcPr/>
          <w:p>
            <w:pPr>
              <w:pStyle w:val="Compact"/>
              <w:jc w:val="left"/>
            </w:pPr>
            <w:r>
              <w:t xml:space="preserve">0.61</w:t>
            </w:r>
          </w:p>
        </w:tc>
      </w:tr>
      <w:tr>
        <w:tc>
          <w:tcPr/>
          <w:p>
            <w:pPr>
              <w:pStyle w:val="Compact"/>
              <w:jc w:val="left"/>
            </w:pPr>
            <w:r>
              <w:t xml:space="preserve">Steel Chassis (Ruhr, DE → NL)</w:t>
            </w:r>
          </w:p>
        </w:tc>
        <w:tc>
          <w:tcPr/>
          <w:p>
            <w:pPr>
              <w:pStyle w:val="Compact"/>
              <w:jc w:val="left"/>
            </w:pPr>
            <w:r>
              <w:t xml:space="preserve">0.00540</w:t>
            </w:r>
          </w:p>
        </w:tc>
        <w:tc>
          <w:tcPr/>
          <w:p>
            <w:pPr>
              <w:pStyle w:val="Compact"/>
              <w:jc w:val="left"/>
            </w:pPr>
            <w:r>
              <w:t xml:space="preserve">240</w:t>
            </w:r>
          </w:p>
        </w:tc>
        <w:tc>
          <w:tcPr/>
          <w:p>
            <w:pPr>
              <w:pStyle w:val="Compact"/>
              <w:jc w:val="left"/>
            </w:pPr>
            <w:r>
              <w:t xml:space="preserve">1.296</w:t>
            </w:r>
          </w:p>
        </w:tc>
        <w:tc>
          <w:tcPr/>
          <w:p>
            <w:pPr>
              <w:pStyle w:val="Compact"/>
              <w:jc w:val="left"/>
            </w:pPr>
            <w:r>
              <w:t xml:space="preserve">0.0882 kg/t·km</w:t>
            </w:r>
          </w:p>
        </w:tc>
        <w:tc>
          <w:tcPr/>
          <w:p>
            <w:pPr>
              <w:pStyle w:val="Compact"/>
              <w:jc w:val="left"/>
            </w:pPr>
            <w:r>
              <w:t xml:space="preserve">DEFRA / GLEC Euro 6 &gt;32t</w:t>
            </w:r>
          </w:p>
        </w:tc>
        <w:tc>
          <w:tcPr/>
          <w:p>
            <w:pPr>
              <w:pStyle w:val="Compact"/>
              <w:jc w:val="left"/>
            </w:pPr>
            <w:r>
              <w:t xml:space="preserve">0.11</w:t>
            </w:r>
          </w:p>
        </w:tc>
      </w:tr>
      <w:tr>
        <w:tc>
          <w:tcPr/>
          <w:p>
            <w:pPr>
              <w:pStyle w:val="Compact"/>
              <w:jc w:val="left"/>
            </w:pPr>
            <w:r>
              <w:t xml:space="preserve">Polymers &amp; Molded Parts (Belgium → NL)</w:t>
            </w:r>
          </w:p>
        </w:tc>
        <w:tc>
          <w:tcPr/>
          <w:p>
            <w:pPr>
              <w:pStyle w:val="Compact"/>
              <w:jc w:val="left"/>
            </w:pPr>
            <w:r>
              <w:t xml:space="preserve">0.00455</w:t>
            </w:r>
          </w:p>
        </w:tc>
        <w:tc>
          <w:tcPr/>
          <w:p>
            <w:pPr>
              <w:pStyle w:val="Compact"/>
              <w:jc w:val="left"/>
            </w:pPr>
            <w:r>
              <w:t xml:space="preserve">115</w:t>
            </w:r>
          </w:p>
        </w:tc>
        <w:tc>
          <w:tcPr/>
          <w:p>
            <w:pPr>
              <w:pStyle w:val="Compact"/>
              <w:jc w:val="left"/>
            </w:pPr>
            <w:r>
              <w:t xml:space="preserve">0.523</w:t>
            </w:r>
          </w:p>
        </w:tc>
        <w:tc>
          <w:tcPr/>
          <w:p>
            <w:pPr>
              <w:pStyle w:val="Compact"/>
              <w:jc w:val="left"/>
            </w:pPr>
            <w:r>
              <w:t xml:space="preserve">0.1345 kg/t·km</w:t>
            </w:r>
          </w:p>
        </w:tc>
        <w:tc>
          <w:tcPr/>
          <w:p>
            <w:pPr>
              <w:pStyle w:val="Compact"/>
              <w:jc w:val="left"/>
            </w:pPr>
            <w:r>
              <w:t xml:space="preserve">DEFRA / GLEC Euro 6 16-32t</w:t>
            </w:r>
          </w:p>
        </w:tc>
        <w:tc>
          <w:tcPr/>
          <w:p>
            <w:pPr>
              <w:pStyle w:val="Compact"/>
              <w:jc w:val="left"/>
            </w:pPr>
            <w:r>
              <w:t xml:space="preserve">0.07</w:t>
            </w:r>
          </w:p>
        </w:tc>
      </w:tr>
      <w:tr>
        <w:tc>
          <w:tcPr/>
          <w:p>
            <w:pPr>
              <w:pStyle w:val="Compact"/>
              <w:jc w:val="left"/>
            </w:pPr>
            <w:r>
              <w:t xml:space="preserve">PCBAs &amp; Switchgear (Bavaria &amp; Austria → NL)</w:t>
            </w:r>
          </w:p>
        </w:tc>
        <w:tc>
          <w:tcPr/>
          <w:p>
            <w:pPr>
              <w:pStyle w:val="Compact"/>
              <w:jc w:val="left"/>
            </w:pPr>
            <w:r>
              <w:t xml:space="preserve">0.00442</w:t>
            </w:r>
          </w:p>
        </w:tc>
        <w:tc>
          <w:tcPr/>
          <w:p>
            <w:pPr>
              <w:pStyle w:val="Compact"/>
              <w:jc w:val="left"/>
            </w:pPr>
            <w:r>
              <w:t xml:space="preserve">750</w:t>
            </w:r>
          </w:p>
        </w:tc>
        <w:tc>
          <w:tcPr/>
          <w:p>
            <w:pPr>
              <w:pStyle w:val="Compact"/>
              <w:jc w:val="left"/>
            </w:pPr>
            <w:r>
              <w:t xml:space="preserve">3.315</w:t>
            </w:r>
          </w:p>
        </w:tc>
        <w:tc>
          <w:tcPr/>
          <w:p>
            <w:pPr>
              <w:pStyle w:val="Compact"/>
              <w:jc w:val="left"/>
            </w:pPr>
            <w:r>
              <w:t xml:space="preserve">0.1345 kg/t·km</w:t>
            </w:r>
          </w:p>
        </w:tc>
        <w:tc>
          <w:tcPr/>
          <w:p>
            <w:pPr>
              <w:pStyle w:val="Compact"/>
              <w:jc w:val="left"/>
            </w:pPr>
            <w:r>
              <w:t xml:space="preserve">DEFRA / GLEC Euro 6 16-32t</w:t>
            </w:r>
          </w:p>
        </w:tc>
        <w:tc>
          <w:tcPr/>
          <w:p>
            <w:pPr>
              <w:pStyle w:val="Compact"/>
              <w:jc w:val="left"/>
            </w:pPr>
            <w:r>
              <w:t xml:space="preserve">0.45</w:t>
            </w:r>
          </w:p>
        </w:tc>
      </w:tr>
      <w:tr>
        <w:tc>
          <w:tcPr/>
          <w:p>
            <w:pPr>
              <w:pStyle w:val="Compact"/>
              <w:jc w:val="left"/>
            </w:pPr>
            <w:r>
              <w:t xml:space="preserve">Copper Cables &amp; Busbars (Poland → NL)</w:t>
            </w:r>
          </w:p>
        </w:tc>
        <w:tc>
          <w:tcPr/>
          <w:p>
            <w:pPr>
              <w:pStyle w:val="Compact"/>
              <w:jc w:val="left"/>
            </w:pPr>
            <w:r>
              <w:t xml:space="preserve">0.00220</w:t>
            </w:r>
          </w:p>
        </w:tc>
        <w:tc>
          <w:tcPr/>
          <w:p>
            <w:pPr>
              <w:pStyle w:val="Compact"/>
              <w:jc w:val="left"/>
            </w:pPr>
            <w:r>
              <w:t xml:space="preserve">890</w:t>
            </w:r>
          </w:p>
        </w:tc>
        <w:tc>
          <w:tcPr/>
          <w:p>
            <w:pPr>
              <w:pStyle w:val="Compact"/>
              <w:jc w:val="left"/>
            </w:pPr>
            <w:r>
              <w:t xml:space="preserve">1.958</w:t>
            </w:r>
          </w:p>
        </w:tc>
        <w:tc>
          <w:tcPr/>
          <w:p>
            <w:pPr>
              <w:pStyle w:val="Compact"/>
              <w:jc w:val="left"/>
            </w:pPr>
            <w:r>
              <w:t xml:space="preserve">0.0882 kg/t·km</w:t>
            </w:r>
          </w:p>
        </w:tc>
        <w:tc>
          <w:tcPr/>
          <w:p>
            <w:pPr>
              <w:pStyle w:val="Compact"/>
              <w:jc w:val="left"/>
            </w:pPr>
            <w:r>
              <w:t xml:space="preserve">DEFRA / GLEC Euro 6 &gt;32t</w:t>
            </w:r>
          </w:p>
        </w:tc>
        <w:tc>
          <w:tcPr/>
          <w:p>
            <w:pPr>
              <w:pStyle w:val="Compact"/>
              <w:jc w:val="left"/>
            </w:pPr>
            <w:r>
              <w:t xml:space="preserve">0.17</w:t>
            </w:r>
          </w:p>
        </w:tc>
      </w:tr>
      <w:tr>
        <w:tc>
          <w:tcPr/>
          <w:p>
            <w:pPr>
              <w:pStyle w:val="Compact"/>
              <w:jc w:val="left"/>
            </w:pPr>
            <w:r>
              <w:t xml:space="preserve">Packaging &amp; Display Materials (Local NL)</w:t>
            </w:r>
          </w:p>
        </w:tc>
        <w:tc>
          <w:tcPr/>
          <w:p>
            <w:pPr>
              <w:pStyle w:val="Compact"/>
              <w:jc w:val="left"/>
            </w:pPr>
            <w:r>
              <w:t xml:space="preserve">0.00445</w:t>
            </w:r>
          </w:p>
        </w:tc>
        <w:tc>
          <w:tcPr/>
          <w:p>
            <w:pPr>
              <w:pStyle w:val="Compact"/>
              <w:jc w:val="left"/>
            </w:pPr>
            <w:r>
              <w:t xml:space="preserve">65</w:t>
            </w:r>
          </w:p>
        </w:tc>
        <w:tc>
          <w:tcPr/>
          <w:p>
            <w:pPr>
              <w:pStyle w:val="Compact"/>
              <w:jc w:val="left"/>
            </w:pPr>
            <w:r>
              <w:t xml:space="preserve">0.289</w:t>
            </w:r>
          </w:p>
        </w:tc>
        <w:tc>
          <w:tcPr/>
          <w:p>
            <w:pPr>
              <w:pStyle w:val="Compact"/>
              <w:jc w:val="left"/>
            </w:pPr>
            <w:r>
              <w:t xml:space="preserve">0.1345 kg/t·km</w:t>
            </w:r>
          </w:p>
        </w:tc>
        <w:tc>
          <w:tcPr/>
          <w:p>
            <w:pPr>
              <w:pStyle w:val="Compact"/>
              <w:jc w:val="left"/>
            </w:pPr>
            <w:r>
              <w:t xml:space="preserve">DEFRA / GLEC Euro 6 16-32t</w:t>
            </w:r>
          </w:p>
        </w:tc>
        <w:tc>
          <w:tcPr/>
          <w:p>
            <w:pPr>
              <w:pStyle w:val="Compact"/>
              <w:jc w:val="left"/>
            </w:pPr>
            <w:r>
              <w:t xml:space="preserve">0.04</w:t>
            </w:r>
          </w:p>
        </w:tc>
      </w:tr>
      <w:tr>
        <w:tc>
          <w:tcPr>
            <w:gridSpan w:val="6"/>
          </w:tcPr>
          <w:p>
            <w:pPr>
              <w:pStyle w:val="Compact"/>
              <w:jc w:val="left"/>
            </w:pPr>
            <w:r>
              <w:t xml:space="preserve">Subtotal Scope 3, Category 4 (Upstream Inbound Transportation)</w:t>
            </w:r>
          </w:p>
        </w:tc>
        <w:tc>
          <w:tcPr/>
          <w:p>
            <w:pPr>
              <w:pStyle w:val="Compact"/>
              <w:jc w:val="left"/>
            </w:pPr>
            <w:r>
              <w:t xml:space="preserve">1.45</w:t>
            </w:r>
          </w:p>
        </w:tc>
      </w:tr>
    </w:tbl>
    <w:bookmarkEnd w:id="30"/>
    <w:bookmarkStart w:id="31" w:name="Xbdd615346ecf57b8e8f42cd014a1a9f8ee341d4"/>
    <w:p>
      <w:pPr>
        <w:pStyle w:val="Heading3"/>
      </w:pPr>
      <w:r>
        <w:t xml:space="preserve">4.3 Final Dutch Manufacturing Site Operations (Scope 1 &amp; Scope 2)</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Scope Classification</w:t>
            </w:r>
          </w:p>
        </w:tc>
        <w:tc>
          <w:tcPr/>
          <w:p>
            <w:pPr>
              <w:pStyle w:val="Compact"/>
              <w:jc w:val="left"/>
            </w:pPr>
            <w:r>
              <w:t xml:space="preserve">Energy / Emission Source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rPr>
                <w:bCs/>
                <w:b/>
              </w:rPr>
              <w:t xml:space="preserve">Scope 1 (Direct)</w:t>
            </w:r>
          </w:p>
        </w:tc>
        <w:tc>
          <w:tcPr/>
          <w:p>
            <w:pPr>
              <w:pStyle w:val="Compact"/>
              <w:jc w:val="left"/>
            </w:pPr>
            <w:r>
              <w:t xml:space="preserve">Natural Gas Space Heating</w:t>
            </w:r>
          </w:p>
        </w:tc>
        <w:tc>
          <w:tcPr/>
          <w:p>
            <w:pPr>
              <w:pStyle w:val="Compact"/>
              <w:jc w:val="left"/>
            </w:pPr>
            <w:r>
              <w:t xml:space="preserve">0.160</w:t>
            </w:r>
          </w:p>
        </w:tc>
        <w:tc>
          <w:tcPr/>
          <w:p>
            <w:pPr>
              <w:pStyle w:val="Compact"/>
              <w:jc w:val="left"/>
            </w:pPr>
            <w:r>
              <w:t xml:space="preserve">m</w:t>
            </w:r>
            <w:r>
              <w:rPr>
                <w:vertAlign w:val="superscript"/>
              </w:rPr>
              <w:t xml:space="preserve">3</w:t>
            </w:r>
          </w:p>
        </w:tc>
        <w:tc>
          <w:tcPr/>
          <w:p>
            <w:pPr>
              <w:pStyle w:val="Compact"/>
              <w:jc w:val="left"/>
            </w:pPr>
            <w:r>
              <w:t xml:space="preserve">1.825 kg/m</w:t>
            </w:r>
            <w:r>
              <w:rPr>
                <w:vertAlign w:val="superscript"/>
              </w:rPr>
              <w:t xml:space="preserve">3</w:t>
            </w:r>
          </w:p>
        </w:tc>
        <w:tc>
          <w:tcPr/>
          <w:p>
            <w:pPr>
              <w:pStyle w:val="Compact"/>
              <w:jc w:val="left"/>
            </w:pPr>
            <w:r>
              <w:t xml:space="preserve">Netherlands CBS / RVO (2025)</w:t>
            </w:r>
          </w:p>
        </w:tc>
        <w:tc>
          <w:tcPr/>
          <w:p>
            <w:pPr>
              <w:pStyle w:val="Compact"/>
              <w:jc w:val="left"/>
            </w:pPr>
            <w:r>
              <w:t xml:space="preserve">0.29</w:t>
            </w:r>
          </w:p>
        </w:tc>
      </w:tr>
      <w:tr>
        <w:tc>
          <w:tcPr/>
          <w:p>
            <w:pPr>
              <w:pStyle w:val="Compact"/>
              <w:jc w:val="left"/>
            </w:pPr>
            <w:r>
              <w:rPr>
                <w:bCs/>
                <w:b/>
              </w:rPr>
              <w:t xml:space="preserve">Scope 1 (Direct)</w:t>
            </w:r>
          </w:p>
        </w:tc>
        <w:tc>
          <w:tcPr/>
          <w:p>
            <w:pPr>
              <w:pStyle w:val="Compact"/>
              <w:jc w:val="left"/>
            </w:pPr>
            <w:r>
              <w:t xml:space="preserve">Fugitive Refrigerant Loss (R-32)</w:t>
            </w:r>
          </w:p>
        </w:tc>
        <w:tc>
          <w:tcPr/>
          <w:p>
            <w:pPr>
              <w:pStyle w:val="Compact"/>
              <w:jc w:val="left"/>
            </w:pPr>
            <w:r>
              <w:t xml:space="preserve">0.00010</w:t>
            </w:r>
          </w:p>
        </w:tc>
        <w:tc>
          <w:tcPr/>
          <w:p>
            <w:pPr>
              <w:pStyle w:val="Compact"/>
              <w:jc w:val="left"/>
            </w:pPr>
            <w:r>
              <w:t xml:space="preserve">kg</w:t>
            </w:r>
          </w:p>
        </w:tc>
        <w:tc>
          <w:tcPr/>
          <w:p>
            <w:pPr>
              <w:pStyle w:val="Compact"/>
              <w:jc w:val="left"/>
            </w:pPr>
            <w:r>
              <w:t xml:space="preserve">677.0 kg/kg</w:t>
            </w:r>
          </w:p>
        </w:tc>
        <w:tc>
          <w:tcPr/>
          <w:p>
            <w:pPr>
              <w:pStyle w:val="Compact"/>
              <w:jc w:val="left"/>
            </w:pPr>
            <w:r>
              <w:t xml:space="preserve">IPCC AR6 GWP100</w:t>
            </w:r>
          </w:p>
        </w:tc>
        <w:tc>
          <w:tcPr/>
          <w:p>
            <w:pPr>
              <w:pStyle w:val="Compact"/>
              <w:jc w:val="left"/>
            </w:pPr>
            <w:r>
              <w:t xml:space="preserve">0.07</w:t>
            </w:r>
          </w:p>
        </w:tc>
      </w:tr>
      <w:tr>
        <w:tc>
          <w:tcPr/>
          <w:p>
            <w:pPr>
              <w:pStyle w:val="Compact"/>
              <w:jc w:val="left"/>
            </w:pPr>
            <w:r>
              <w:rPr>
                <w:bCs/>
                <w:b/>
              </w:rPr>
              <w:t xml:space="preserve">Scope 2 (Market-based)*</w:t>
            </w:r>
          </w:p>
        </w:tc>
        <w:tc>
          <w:tcPr/>
          <w:p>
            <w:pPr>
              <w:pStyle w:val="Compact"/>
              <w:jc w:val="left"/>
            </w:pPr>
            <w:r>
              <w:t xml:space="preserve">Purchased Electricity (100% NL Wind GoO)</w:t>
            </w:r>
          </w:p>
        </w:tc>
        <w:tc>
          <w:tcPr/>
          <w:p>
            <w:pPr>
              <w:pStyle w:val="Compact"/>
              <w:jc w:val="left"/>
            </w:pPr>
            <w:r>
              <w:t xml:space="preserve">14.20</w:t>
            </w:r>
          </w:p>
        </w:tc>
        <w:tc>
          <w:tcPr/>
          <w:p>
            <w:pPr>
              <w:pStyle w:val="Compact"/>
              <w:jc w:val="left"/>
            </w:pPr>
            <w:r>
              <w:t xml:space="preserve">kWh</w:t>
            </w:r>
          </w:p>
        </w:tc>
        <w:tc>
          <w:tcPr/>
          <w:p>
            <w:pPr>
              <w:pStyle w:val="Compact"/>
              <w:jc w:val="left"/>
            </w:pPr>
            <w:r>
              <w:t xml:space="preserve">0.0169 kg/kWh</w:t>
            </w:r>
          </w:p>
        </w:tc>
        <w:tc>
          <w:tcPr/>
          <w:p>
            <w:pPr>
              <w:pStyle w:val="Compact"/>
              <w:jc w:val="left"/>
            </w:pPr>
            <w:r>
              <w:t xml:space="preserve">AIB Residual / Certified EPD</w:t>
            </w:r>
          </w:p>
        </w:tc>
        <w:tc>
          <w:tcPr/>
          <w:p>
            <w:pPr>
              <w:pStyle w:val="Compact"/>
              <w:jc w:val="left"/>
            </w:pPr>
            <w:r>
              <w:t xml:space="preserve">0.24</w:t>
            </w:r>
          </w:p>
        </w:tc>
      </w:tr>
      <w:tr>
        <w:tc>
          <w:tcPr/>
          <w:p>
            <w:pPr>
              <w:pStyle w:val="Compact"/>
              <w:jc w:val="left"/>
            </w:pPr>
            <w:r>
              <w:rPr>
                <w:iCs/>
                <w:i/>
              </w:rPr>
              <w:t xml:space="preserve">Scope 2 (Location-based ref)</w:t>
            </w:r>
          </w:p>
        </w:tc>
        <w:tc>
          <w:tcPr/>
          <w:p>
            <w:pPr>
              <w:pStyle w:val="Compact"/>
              <w:jc w:val="left"/>
            </w:pPr>
            <w:r>
              <w:rPr>
                <w:iCs/>
                <w:i/>
              </w:rPr>
              <w:t xml:space="preserve">Dutch Electricity Grid Average (Residual)</w:t>
            </w:r>
          </w:p>
        </w:tc>
        <w:tc>
          <w:tcPr/>
          <w:p>
            <w:pPr>
              <w:pStyle w:val="Compact"/>
              <w:jc w:val="left"/>
            </w:pPr>
            <w:r>
              <w:rPr>
                <w:iCs/>
                <w:i/>
              </w:rPr>
              <w:t xml:space="preserve">14.20</w:t>
            </w:r>
          </w:p>
        </w:tc>
        <w:tc>
          <w:tcPr/>
          <w:p>
            <w:pPr>
              <w:pStyle w:val="Compact"/>
              <w:jc w:val="left"/>
            </w:pPr>
            <w:r>
              <w:rPr>
                <w:iCs/>
                <w:i/>
              </w:rPr>
              <w:t xml:space="preserve">kWh</w:t>
            </w:r>
          </w:p>
        </w:tc>
        <w:tc>
          <w:tcPr/>
          <w:p>
            <w:pPr>
              <w:pStyle w:val="Compact"/>
              <w:jc w:val="left"/>
            </w:pPr>
            <w:r>
              <w:rPr>
                <w:iCs/>
                <w:i/>
              </w:rPr>
              <w:t xml:space="preserve">0.2910 kg/kWh</w:t>
            </w:r>
          </w:p>
        </w:tc>
        <w:tc>
          <w:tcPr/>
          <w:p>
            <w:pPr>
              <w:pStyle w:val="Compact"/>
              <w:jc w:val="left"/>
            </w:pPr>
            <w:r>
              <w:rPr>
                <w:iCs/>
                <w:i/>
              </w:rPr>
              <w:t xml:space="preserve">RVO / Co2emissiefactoren.nl</w:t>
            </w:r>
          </w:p>
        </w:tc>
        <w:tc>
          <w:tcPr/>
          <w:p>
            <w:pPr>
              <w:pStyle w:val="Compact"/>
              <w:jc w:val="left"/>
            </w:pPr>
            <w:r>
              <w:rPr>
                <w:iCs/>
                <w:i/>
              </w:rPr>
              <w:t xml:space="preserve">(4.13)</w:t>
            </w:r>
          </w:p>
        </w:tc>
      </w:tr>
      <w:tr>
        <w:tc>
          <w:tcPr>
            <w:gridSpan w:val="6"/>
          </w:tcPr>
          <w:p>
            <w:pPr>
              <w:pStyle w:val="Compact"/>
              <w:jc w:val="left"/>
            </w:pPr>
            <w:r>
              <w:t xml:space="preserve">Subtotal Manufacturing Site Direct Impact (Scope 1 + Scope 2 Market-Based)</w:t>
            </w:r>
          </w:p>
        </w:tc>
        <w:tc>
          <w:tcPr/>
          <w:p>
            <w:pPr>
              <w:pStyle w:val="Compact"/>
              <w:jc w:val="left"/>
            </w:pPr>
            <w:r>
              <w:t xml:space="preserve">0.60</w:t>
            </w:r>
          </w:p>
        </w:tc>
      </w:tr>
    </w:tbl>
    <w:p>
      <w:pPr>
        <w:pStyle w:val="BodyText"/>
      </w:pPr>
      <w:r>
        <w:t xml:space="preserve">*Market-based accounting method is reported in the headline total as per GHG Protocol Scope 2 Guidance. Location-based total is provided for transparency.</w:t>
      </w:r>
    </w:p>
    <w:bookmarkEnd w:id="31"/>
    <w:bookmarkStart w:id="32" w:name="other-scope-3-operational-categories"/>
    <w:p>
      <w:pPr>
        <w:pStyle w:val="Heading3"/>
      </w:pPr>
      <w:r>
        <w:t xml:space="preserve">4.4 Other Scope 3 Operational Categories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Scope 3 Category</w:t>
            </w:r>
          </w:p>
        </w:tc>
        <w:tc>
          <w:tcPr/>
          <w:p>
            <w:pPr>
              <w:pStyle w:val="Compact"/>
              <w:jc w:val="left"/>
            </w:pPr>
            <w:r>
              <w:t xml:space="preserve">Activity Description</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EF</w:t>
            </w:r>
          </w:p>
        </w:tc>
        <w:tc>
          <w:tcPr/>
          <w:p>
            <w:pPr>
              <w:pStyle w:val="Compact"/>
              <w:jc w:val="left"/>
            </w:pPr>
            <w:r>
              <w:t xml:space="preserve">Source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rPr>
                <w:bCs/>
                <w:b/>
              </w:rPr>
              <w:t xml:space="preserve">Cat 2: Capital Goods</w:t>
            </w:r>
          </w:p>
        </w:tc>
        <w:tc>
          <w:tcPr/>
          <w:p>
            <w:pPr>
              <w:pStyle w:val="Compact"/>
              <w:jc w:val="left"/>
            </w:pPr>
            <w:r>
              <w:t xml:space="preserve">Facility plant machinery depreciation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0.780</w:t>
            </w:r>
          </w:p>
        </w:tc>
        <w:tc>
          <w:tcPr/>
          <w:p>
            <w:pPr>
              <w:pStyle w:val="Compact"/>
              <w:jc w:val="left"/>
            </w:pPr>
            <w:r>
              <w:t xml:space="preserve">Ecoinvent v3.10 (Factory allocation)</w:t>
            </w:r>
          </w:p>
        </w:tc>
        <w:tc>
          <w:tcPr/>
          <w:p>
            <w:pPr>
              <w:pStyle w:val="Compact"/>
              <w:jc w:val="left"/>
            </w:pPr>
            <w:r>
              <w:t xml:space="preserve">0.78</w:t>
            </w:r>
          </w:p>
        </w:tc>
      </w:tr>
      <w:tr>
        <w:tc>
          <w:tcPr/>
          <w:p>
            <w:pPr>
              <w:pStyle w:val="Compact"/>
              <w:jc w:val="left"/>
            </w:pPr>
            <w:r>
              <w:rPr>
                <w:bCs/>
                <w:b/>
              </w:rPr>
              <w:t xml:space="preserve">Cat 3: Fuel &amp; Energy Activities</w:t>
            </w:r>
          </w:p>
        </w:tc>
        <w:tc>
          <w:tcPr/>
          <w:p>
            <w:pPr>
              <w:pStyle w:val="Compact"/>
              <w:jc w:val="left"/>
            </w:pPr>
            <w:r>
              <w:t xml:space="preserve">Well-to-Tank (WTT) upstream electricity &amp; gas</w:t>
            </w:r>
          </w:p>
        </w:tc>
        <w:tc>
          <w:tcPr/>
          <w:p>
            <w:pPr>
              <w:pStyle w:val="Compact"/>
              <w:jc w:val="left"/>
            </w:pPr>
            <w:r>
              <w:t xml:space="preserve">14.20</w:t>
            </w:r>
          </w:p>
        </w:tc>
        <w:tc>
          <w:tcPr/>
          <w:p>
            <w:pPr>
              <w:pStyle w:val="Compact"/>
              <w:jc w:val="left"/>
            </w:pPr>
            <w:r>
              <w:t xml:space="preserve">kWh</w:t>
            </w:r>
          </w:p>
        </w:tc>
        <w:tc>
          <w:tcPr/>
          <w:p>
            <w:pPr>
              <w:pStyle w:val="Compact"/>
              <w:jc w:val="left"/>
            </w:pPr>
            <w:r>
              <w:t xml:space="preserve">0.038</w:t>
            </w:r>
          </w:p>
        </w:tc>
        <w:tc>
          <w:tcPr/>
          <w:p>
            <w:pPr>
              <w:pStyle w:val="Compact"/>
              <w:jc w:val="left"/>
            </w:pPr>
            <w:r>
              <w:t xml:space="preserve">DEFRA 2025 WTT factors</w:t>
            </w:r>
          </w:p>
        </w:tc>
        <w:tc>
          <w:tcPr/>
          <w:p>
            <w:pPr>
              <w:pStyle w:val="Compact"/>
              <w:jc w:val="left"/>
            </w:pPr>
            <w:r>
              <w:t xml:space="preserve">0.54</w:t>
            </w:r>
          </w:p>
        </w:tc>
      </w:tr>
      <w:tr>
        <w:tc>
          <w:tcPr/>
          <w:p>
            <w:pPr>
              <w:pStyle w:val="Compact"/>
              <w:jc w:val="left"/>
            </w:pPr>
            <w:r>
              <w:rPr>
                <w:bCs/>
                <w:b/>
              </w:rPr>
              <w:t xml:space="preserve">Cat 5: Waste in Operations</w:t>
            </w:r>
          </w:p>
        </w:tc>
        <w:tc>
          <w:tcPr/>
          <w:p>
            <w:pPr>
              <w:pStyle w:val="Compact"/>
              <w:jc w:val="left"/>
            </w:pPr>
            <w:r>
              <w:t xml:space="preserve">Scrap metal and polymer off-cuts recycling</w:t>
            </w:r>
          </w:p>
        </w:tc>
        <w:tc>
          <w:tcPr/>
          <w:p>
            <w:pPr>
              <w:pStyle w:val="Compact"/>
              <w:jc w:val="left"/>
            </w:pPr>
            <w:r>
              <w:t xml:space="preserve">0.45</w:t>
            </w:r>
          </w:p>
        </w:tc>
        <w:tc>
          <w:tcPr/>
          <w:p>
            <w:pPr>
              <w:pStyle w:val="Compact"/>
              <w:jc w:val="left"/>
            </w:pPr>
            <w:r>
              <w:t xml:space="preserve">kg</w:t>
            </w:r>
          </w:p>
        </w:tc>
        <w:tc>
          <w:tcPr/>
          <w:p>
            <w:pPr>
              <w:pStyle w:val="Compact"/>
              <w:jc w:val="left"/>
            </w:pPr>
            <w:r>
              <w:t xml:space="preserve">0.065</w:t>
            </w:r>
          </w:p>
        </w:tc>
        <w:tc>
          <w:tcPr/>
          <w:p>
            <w:pPr>
              <w:pStyle w:val="Compact"/>
              <w:jc w:val="left"/>
            </w:pPr>
            <w:r>
              <w:t xml:space="preserve">Co2emissiefactoren.nl</w:t>
            </w:r>
          </w:p>
        </w:tc>
        <w:tc>
          <w:tcPr/>
          <w:p>
            <w:pPr>
              <w:pStyle w:val="Compact"/>
              <w:jc w:val="left"/>
            </w:pPr>
            <w:r>
              <w:t xml:space="preserve">0.03</w:t>
            </w:r>
          </w:p>
        </w:tc>
      </w:tr>
      <w:tr>
        <w:tc>
          <w:tcPr>
            <w:gridSpan w:val="6"/>
          </w:tcPr>
          <w:p>
            <w:pPr>
              <w:pStyle w:val="Compact"/>
              <w:jc w:val="left"/>
            </w:pPr>
            <w:r>
              <w:t xml:space="preserve">Subtotal Ancillary Scope 3 Upstream Activities</w:t>
            </w:r>
          </w:p>
        </w:tc>
        <w:tc>
          <w:tcPr/>
          <w:p>
            <w:pPr>
              <w:pStyle w:val="Compact"/>
              <w:jc w:val="left"/>
            </w:pPr>
            <w:r>
              <w:t xml:space="preserve">1.35</w:t>
            </w:r>
          </w:p>
        </w:tc>
      </w:tr>
    </w:tbl>
    <w:p>
      <w:r>
        <w:pict>
          <v:rect style="width:0;height:1.5pt" o:hralign="center" o:hrstd="t" o:hr="t"/>
        </w:pict>
      </w:r>
    </w:p>
    <w:bookmarkEnd w:id="32"/>
    <w:bookmarkEnd w:id="33"/>
    <w:bookmarkStart w:id="34" w:name="X55e0fd340a24214607cdccaf8b5980ea8b25d24"/>
    <w:p>
      <w:pPr>
        <w:pStyle w:val="Heading1"/>
      </w:pPr>
      <w:r>
        <w:t xml:space="preserve">2026 Land Sector and Removals (LSR) Accounting Integration</w:t>
      </w:r>
    </w:p>
    <w:p>
      <w:pPr>
        <w:pStyle w:val="FirstParagraph"/>
      </w:pPr>
      <w:r>
        <w:t xml:space="preserve">In accordance with the</w:t>
      </w:r>
      <w:r>
        <w:t xml:space="preserve"> </w:t>
      </w:r>
      <w:r>
        <w:rPr>
          <w:bCs/>
          <w:b/>
        </w:rPr>
        <w:t xml:space="preserve">2026 GHG Protocol Land Sector and Removals (LSR) Standard</w:t>
      </w:r>
      <w:r>
        <w:t xml:space="preserve">, biogenic carbon stocks and net removals are reported in a separate balance to ensure transparent environmental integrity. Biogenic emissions and carbon storage embedded in the bio-based packaging components are detailed below.</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Biogenic Element</w:t>
            </w:r>
          </w:p>
        </w:tc>
        <w:tc>
          <w:tcPr/>
          <w:p>
            <w:pPr>
              <w:pStyle w:val="Compact"/>
              <w:jc w:val="left"/>
            </w:pPr>
            <w:r>
              <w:t xml:space="preserve">Packaging Component</w:t>
            </w:r>
          </w:p>
        </w:tc>
        <w:tc>
          <w:tcPr/>
          <w:p>
            <w:pPr>
              <w:pStyle w:val="Compact"/>
              <w:jc w:val="left"/>
            </w:pPr>
            <w:r>
              <w:t xml:space="preserve">Dry Biomass (kg)</w:t>
            </w:r>
          </w:p>
        </w:tc>
        <w:tc>
          <w:tcPr/>
          <w:p>
            <w:pPr>
              <w:pStyle w:val="Compact"/>
              <w:jc w:val="left"/>
            </w:pPr>
            <w:r>
              <w:t xml:space="preserve">Biogenic Carbon Fraction</w:t>
            </w:r>
          </w:p>
        </w:tc>
        <w:tc>
          <w:tcPr/>
          <w:p>
            <w:pPr>
              <w:pStyle w:val="Compact"/>
              <w:jc w:val="left"/>
            </w:pPr>
            <w:r>
              <w:t xml:space="preserve">Gross Biogenic Removals (kg CO</w:t>
            </w:r>
            <w:r>
              <w:rPr>
                <w:vertAlign w:val="subscript"/>
              </w:rPr>
              <w:t xml:space="preserve">2</w:t>
            </w:r>
            <w:r>
              <w:t xml:space="preserve">)</w:t>
            </w:r>
          </w:p>
        </w:tc>
        <w:tc>
          <w:tcPr/>
          <w:p>
            <w:pPr>
              <w:pStyle w:val="Compact"/>
              <w:jc w:val="left"/>
            </w:pPr>
            <w:r>
              <w:t xml:space="preserve">Land Management Burden</w:t>
            </w:r>
          </w:p>
        </w:tc>
        <w:tc>
          <w:tcPr/>
          <w:p>
            <w:pPr>
              <w:pStyle w:val="Compact"/>
              <w:jc w:val="left"/>
            </w:pPr>
            <w:r>
              <w:t xml:space="preserve">Net LSR Balance (kg CO</w:t>
            </w:r>
            <w:r>
              <w:rPr>
                <w:vertAlign w:val="subscript"/>
              </w:rPr>
              <w:t xml:space="preserve">2</w:t>
            </w:r>
            <w:r>
              <w:t xml:space="preserve">e)</w:t>
            </w:r>
          </w:p>
        </w:tc>
      </w:tr>
      <w:tr>
        <w:tc>
          <w:tcPr/>
          <w:p>
            <w:pPr>
              <w:pStyle w:val="Compact"/>
              <w:jc w:val="left"/>
            </w:pPr>
            <w:r>
              <w:t xml:space="preserve">FSC-Certified Kraftliner</w:t>
            </w:r>
          </w:p>
        </w:tc>
        <w:tc>
          <w:tcPr/>
          <w:p>
            <w:pPr>
              <w:pStyle w:val="Compact"/>
              <w:jc w:val="left"/>
            </w:pPr>
            <w:r>
              <w:t xml:space="preserve">Shipping Outer Carton (2.40 kg)</w:t>
            </w:r>
          </w:p>
        </w:tc>
        <w:tc>
          <w:tcPr/>
          <w:p>
            <w:pPr>
              <w:pStyle w:val="Compact"/>
              <w:jc w:val="left"/>
            </w:pPr>
            <w:r>
              <w:t xml:space="preserve">2.16</w:t>
            </w:r>
          </w:p>
        </w:tc>
        <w:tc>
          <w:tcPr/>
          <w:p>
            <w:pPr>
              <w:pStyle w:val="Compact"/>
              <w:jc w:val="left"/>
            </w:pPr>
            <w:r>
              <w:t xml:space="preserve">0.48 C</w:t>
            </w:r>
          </w:p>
        </w:tc>
        <w:tc>
          <w:tcPr/>
          <w:p>
            <w:pPr>
              <w:pStyle w:val="Compact"/>
              <w:jc w:val="left"/>
            </w:pPr>
            <w:r>
              <w:t xml:space="preserve">-3.80</w:t>
            </w:r>
          </w:p>
        </w:tc>
        <w:tc>
          <w:tcPr/>
          <w:p>
            <w:pPr>
              <w:pStyle w:val="Compact"/>
              <w:jc w:val="left"/>
            </w:pPr>
            <w:r>
              <w:t xml:space="preserve">+0.18</w:t>
            </w:r>
          </w:p>
        </w:tc>
        <w:tc>
          <w:tcPr/>
          <w:p>
            <w:pPr>
              <w:pStyle w:val="Compact"/>
              <w:jc w:val="left"/>
            </w:pPr>
            <w:r>
              <w:t xml:space="preserve">-3.62</w:t>
            </w:r>
          </w:p>
        </w:tc>
      </w:tr>
      <w:tr>
        <w:tc>
          <w:tcPr/>
          <w:p>
            <w:pPr>
              <w:pStyle w:val="Compact"/>
              <w:jc w:val="left"/>
            </w:pPr>
            <w:r>
              <w:t xml:space="preserve">Molded Recovered Fiber</w:t>
            </w:r>
          </w:p>
        </w:tc>
        <w:tc>
          <w:tcPr/>
          <w:p>
            <w:pPr>
              <w:pStyle w:val="Compact"/>
              <w:jc w:val="left"/>
            </w:pPr>
            <w:r>
              <w:t xml:space="preserve">Pulp Protective Cushions (1.35 kg)</w:t>
            </w:r>
          </w:p>
        </w:tc>
        <w:tc>
          <w:tcPr/>
          <w:p>
            <w:pPr>
              <w:pStyle w:val="Compact"/>
              <w:jc w:val="left"/>
            </w:pPr>
            <w:r>
              <w:t xml:space="preserve">1.21</w:t>
            </w:r>
          </w:p>
        </w:tc>
        <w:tc>
          <w:tcPr/>
          <w:p>
            <w:pPr>
              <w:pStyle w:val="Compact"/>
              <w:jc w:val="left"/>
            </w:pPr>
            <w:r>
              <w:t xml:space="preserve">0.46 C</w:t>
            </w:r>
          </w:p>
        </w:tc>
        <w:tc>
          <w:tcPr/>
          <w:p>
            <w:pPr>
              <w:pStyle w:val="Compact"/>
              <w:jc w:val="left"/>
            </w:pPr>
            <w:r>
              <w:t xml:space="preserve">-2.04</w:t>
            </w:r>
          </w:p>
        </w:tc>
        <w:tc>
          <w:tcPr/>
          <w:p>
            <w:pPr>
              <w:pStyle w:val="Compact"/>
              <w:jc w:val="left"/>
            </w:pPr>
            <w:r>
              <w:t xml:space="preserve">+0.08</w:t>
            </w:r>
          </w:p>
        </w:tc>
        <w:tc>
          <w:tcPr/>
          <w:p>
            <w:pPr>
              <w:pStyle w:val="Compact"/>
              <w:jc w:val="left"/>
            </w:pPr>
            <w:r>
              <w:t xml:space="preserve">-1.96</w:t>
            </w:r>
          </w:p>
        </w:tc>
      </w:tr>
      <w:tr>
        <w:tc>
          <w:tcPr>
            <w:gridSpan w:val="4"/>
          </w:tcPr>
          <w:p>
            <w:pPr>
              <w:pStyle w:val="Compact"/>
              <w:jc w:val="left"/>
            </w:pPr>
            <w:r>
              <w:t xml:space="preserve">Total 2026 LSR Net Removal Credit (Tracked at Factory Gate)</w:t>
            </w:r>
          </w:p>
        </w:tc>
        <w:tc>
          <w:tcPr/>
          <w:p>
            <w:pPr>
              <w:pStyle w:val="Compact"/>
              <w:jc w:val="left"/>
            </w:pPr>
            <w:r>
              <w:t xml:space="preserve">-5.84</w:t>
            </w:r>
          </w:p>
        </w:tc>
        <w:tc>
          <w:tcPr/>
          <w:p>
            <w:pPr>
              <w:pStyle w:val="Compact"/>
              <w:jc w:val="left"/>
            </w:pPr>
            <w:r>
              <w:t xml:space="preserve">+0.26</w:t>
            </w:r>
          </w:p>
        </w:tc>
        <w:tc>
          <w:tcPr/>
          <w:p>
            <w:pPr>
              <w:pStyle w:val="Compact"/>
              <w:jc w:val="left"/>
            </w:pPr>
            <w:r>
              <w:rPr>
                <w:bCs/>
                <w:b/>
              </w:rPr>
              <w:t xml:space="preserve">-5.58</w:t>
            </w:r>
          </w:p>
        </w:tc>
      </w:tr>
    </w:tbl>
    <w:p>
      <w:pPr>
        <w:pStyle w:val="BodyText"/>
      </w:pPr>
      <w:r>
        <w:t xml:space="preserve">*LSR Rule Application: Biogenic carbon removals (-5.58 kg CO</w:t>
      </w:r>
      <w:r>
        <w:rPr>
          <w:vertAlign w:val="subscript"/>
        </w:rPr>
        <w:t xml:space="preserve">2</w:t>
      </w:r>
      <w:r>
        <w:t xml:space="preserve">e) are stored in forest-origin packaging leaving the gate. In final accounting synthesis, gross fossil emissions and net removals are presented transparently.</w:t>
      </w:r>
    </w:p>
    <w:p>
      <w:r>
        <w:pict>
          <v:rect style="width:0;height:1.5pt" o:hralign="center" o:hrstd="t" o:hr="t"/>
        </w:pict>
      </w:r>
    </w:p>
    <w:bookmarkEnd w:id="34"/>
    <w:bookmarkStart w:id="39" w:name="step-5-review-hotspots-data-reliability"/>
    <w:p>
      <w:pPr>
        <w:pStyle w:val="Heading1"/>
      </w:pPr>
      <w:r>
        <w:t xml:space="preserve">Step 5: Review, Hotspots &amp; Data Reliability</w:t>
      </w:r>
    </w:p>
    <w:bookmarkStart w:id="35" w:name="X7b7fad242806deabbb1747621fcd285e5b592b5"/>
    <w:p>
      <w:pPr>
        <w:pStyle w:val="Heading3"/>
      </w:pPr>
      <w:r>
        <w:t xml:space="preserve">5.1 Complete Greenhouse Gas Protocol Inventory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 Category</w:t>
            </w:r>
          </w:p>
        </w:tc>
        <w:tc>
          <w:tcPr/>
          <w:p>
            <w:pPr>
              <w:pStyle w:val="Compact"/>
              <w:jc w:val="left"/>
            </w:pPr>
            <w:r>
              <w:t xml:space="preserve">Gross Emissions (kg CO</w:t>
            </w:r>
            <w:r>
              <w:rPr>
                <w:vertAlign w:val="subscript"/>
              </w:rPr>
              <w:t xml:space="preserve">2</w:t>
            </w:r>
            <w:r>
              <w:t xml:space="preserve">e)</w:t>
            </w:r>
          </w:p>
        </w:tc>
        <w:tc>
          <w:tcPr/>
          <w:p>
            <w:pPr>
              <w:pStyle w:val="Compact"/>
              <w:jc w:val="left"/>
            </w:pPr>
            <w:r>
              <w:t xml:space="preserve">Contribution Share (%)</w:t>
            </w:r>
          </w:p>
        </w:tc>
      </w:tr>
      <w:tr>
        <w:tc>
          <w:tcPr/>
          <w:p>
            <w:pPr>
              <w:pStyle w:val="Compact"/>
              <w:jc w:val="left"/>
            </w:pPr>
            <w:r>
              <w:rPr>
                <w:bCs/>
                <w:b/>
              </w:rPr>
              <w:t xml:space="preserve">Scope 1:</w:t>
            </w:r>
            <w:r>
              <w:t xml:space="preserve"> </w:t>
            </w:r>
            <w:r>
              <w:t xml:space="preserve">Direct Facility Natural Gas &amp; Fugitives</w:t>
            </w:r>
          </w:p>
        </w:tc>
        <w:tc>
          <w:tcPr/>
          <w:p>
            <w:pPr>
              <w:pStyle w:val="Compact"/>
              <w:jc w:val="left"/>
            </w:pPr>
            <w:r>
              <w:t xml:space="preserve">0.36</w:t>
            </w:r>
          </w:p>
        </w:tc>
        <w:tc>
          <w:tcPr/>
          <w:p>
            <w:pPr>
              <w:pStyle w:val="Compact"/>
              <w:jc w:val="left"/>
            </w:pPr>
            <w:r>
              <w:t xml:space="preserve">0.16%</w:t>
            </w:r>
          </w:p>
        </w:tc>
      </w:tr>
      <w:tr>
        <w:tc>
          <w:tcPr/>
          <w:p>
            <w:pPr>
              <w:pStyle w:val="Compact"/>
              <w:jc w:val="left"/>
            </w:pPr>
            <w:r>
              <w:rPr>
                <w:bCs/>
                <w:b/>
              </w:rPr>
              <w:t xml:space="preserve">Scope 2:</w:t>
            </w:r>
            <w:r>
              <w:t xml:space="preserve"> </w:t>
            </w:r>
            <w:r>
              <w:t xml:space="preserve">Indirect Purchased Electricity (Market-based)</w:t>
            </w:r>
          </w:p>
        </w:tc>
        <w:tc>
          <w:tcPr/>
          <w:p>
            <w:pPr>
              <w:pStyle w:val="Compact"/>
              <w:jc w:val="left"/>
            </w:pPr>
            <w:r>
              <w:t xml:space="preserve">0.24</w:t>
            </w:r>
          </w:p>
        </w:tc>
        <w:tc>
          <w:tcPr/>
          <w:p>
            <w:pPr>
              <w:pStyle w:val="Compact"/>
              <w:jc w:val="left"/>
            </w:pPr>
            <w:r>
              <w:t xml:space="preserve">0.11%</w:t>
            </w:r>
          </w:p>
        </w:tc>
      </w:tr>
      <w:tr>
        <w:tc>
          <w:tcPr/>
          <w:p>
            <w:pPr>
              <w:pStyle w:val="Compact"/>
              <w:jc w:val="left"/>
            </w:pPr>
            <w:r>
              <w:rPr>
                <w:bCs/>
                <w:b/>
              </w:rPr>
              <w:t xml:space="preserve">Scope 3, Cat 1:</w:t>
            </w:r>
            <w:r>
              <w:t xml:space="preserve"> </w:t>
            </w:r>
            <w:r>
              <w:t xml:space="preserve">Upstream Raw Materials &amp; Components</w:t>
            </w:r>
          </w:p>
        </w:tc>
        <w:tc>
          <w:tcPr/>
          <w:p>
            <w:pPr>
              <w:pStyle w:val="Compact"/>
              <w:jc w:val="left"/>
            </w:pPr>
            <w:r>
              <w:t xml:space="preserve">215.75*</w:t>
            </w:r>
          </w:p>
        </w:tc>
        <w:tc>
          <w:tcPr/>
          <w:p>
            <w:pPr>
              <w:pStyle w:val="Compact"/>
              <w:jc w:val="left"/>
            </w:pPr>
            <w:r>
              <w:t xml:space="preserve">96.31%</w:t>
            </w:r>
          </w:p>
        </w:tc>
      </w:tr>
      <w:tr>
        <w:tc>
          <w:tcPr/>
          <w:p>
            <w:pPr>
              <w:pStyle w:val="Compact"/>
              <w:jc w:val="left"/>
            </w:pPr>
            <w:r>
              <w:rPr>
                <w:bCs/>
                <w:b/>
              </w:rPr>
              <w:t xml:space="preserve">Scope 3, Cat 4:</w:t>
            </w:r>
            <w:r>
              <w:t xml:space="preserve"> </w:t>
            </w:r>
            <w:r>
              <w:t xml:space="preserve">Inbound Freight Transportation</w:t>
            </w:r>
          </w:p>
        </w:tc>
        <w:tc>
          <w:tcPr/>
          <w:p>
            <w:pPr>
              <w:pStyle w:val="Compact"/>
              <w:jc w:val="left"/>
            </w:pPr>
            <w:r>
              <w:t xml:space="preserve">1.45</w:t>
            </w:r>
          </w:p>
        </w:tc>
        <w:tc>
          <w:tcPr/>
          <w:p>
            <w:pPr>
              <w:pStyle w:val="Compact"/>
              <w:jc w:val="left"/>
            </w:pPr>
            <w:r>
              <w:t xml:space="preserve">0.65%</w:t>
            </w:r>
          </w:p>
        </w:tc>
      </w:tr>
      <w:tr>
        <w:tc>
          <w:tcPr/>
          <w:p>
            <w:pPr>
              <w:pStyle w:val="Compact"/>
              <w:jc w:val="left"/>
            </w:pPr>
            <w:r>
              <w:rPr>
                <w:bCs/>
                <w:b/>
              </w:rPr>
              <w:t xml:space="preserve">Scope 3, Other:</w:t>
            </w:r>
            <w:r>
              <w:t xml:space="preserve"> </w:t>
            </w:r>
            <w:r>
              <w:t xml:space="preserve">Capital Goods, WTT Energy, Ops Waste (Cat 2, 3, 5)</w:t>
            </w:r>
          </w:p>
        </w:tc>
        <w:tc>
          <w:tcPr/>
          <w:p>
            <w:pPr>
              <w:pStyle w:val="Compact"/>
              <w:jc w:val="left"/>
            </w:pPr>
            <w:r>
              <w:t xml:space="preserve">1.35</w:t>
            </w:r>
          </w:p>
        </w:tc>
        <w:tc>
          <w:tcPr/>
          <w:p>
            <w:pPr>
              <w:pStyle w:val="Compact"/>
              <w:jc w:val="left"/>
            </w:pPr>
            <w:r>
              <w:t xml:space="preserve">0.60%</w:t>
            </w:r>
          </w:p>
        </w:tc>
      </w:tr>
      <w:tr>
        <w:tc>
          <w:tcPr/>
          <w:p>
            <w:pPr>
              <w:pStyle w:val="Compact"/>
              <w:jc w:val="left"/>
            </w:pPr>
            <w:r>
              <w:t xml:space="preserve">Gross Cradle-to-Gate Fossil GHG Total</w:t>
            </w:r>
          </w:p>
        </w:tc>
        <w:tc>
          <w:tcPr/>
          <w:p>
            <w:pPr>
              <w:pStyle w:val="Compact"/>
              <w:jc w:val="left"/>
            </w:pPr>
            <w:r>
              <w:t xml:space="preserve">219.15</w:t>
            </w:r>
          </w:p>
        </w:tc>
        <w:tc>
          <w:tcPr/>
          <w:p>
            <w:pPr>
              <w:pStyle w:val="Compact"/>
              <w:jc w:val="left"/>
            </w:pPr>
            <w:r>
              <w:t xml:space="preserve">100.00%</w:t>
            </w:r>
          </w:p>
        </w:tc>
      </w:tr>
      <w:tr>
        <w:tc>
          <w:tcPr/>
          <w:p>
            <w:pPr>
              <w:pStyle w:val="Compact"/>
              <w:jc w:val="left"/>
            </w:pPr>
            <w:r>
              <w:t xml:space="preserve">2026 LSR Net Biogenic Packaging Removal Credit</w:t>
            </w:r>
          </w:p>
        </w:tc>
        <w:tc>
          <w:tcPr/>
          <w:p>
            <w:pPr>
              <w:pStyle w:val="Compact"/>
              <w:jc w:val="left"/>
            </w:pPr>
            <w:r>
              <w:t xml:space="preserve">-5.58</w:t>
            </w:r>
          </w:p>
        </w:tc>
        <w:tc>
          <w:tcPr/>
          <w:p>
            <w:pPr>
              <w:pStyle w:val="Compact"/>
              <w:jc w:val="left"/>
            </w:pPr>
            <w:r>
              <w:t xml:space="preserve">-2.55%</w:t>
            </w:r>
          </w:p>
        </w:tc>
      </w:tr>
      <w:tr>
        <w:tc>
          <w:tcPr/>
          <w:p>
            <w:pPr>
              <w:pStyle w:val="Compact"/>
              <w:jc w:val="left"/>
            </w:pPr>
            <w:r>
              <w:t xml:space="preserve">NET PRODUCT CARBON FOOTPRINT (Cradle-to-Gate)</w:t>
            </w:r>
          </w:p>
        </w:tc>
        <w:tc>
          <w:tcPr/>
          <w:p>
            <w:pPr>
              <w:pStyle w:val="Compact"/>
              <w:jc w:val="left"/>
            </w:pPr>
            <w:r>
              <w:t xml:space="preserve">213.57</w:t>
            </w:r>
          </w:p>
        </w:tc>
        <w:tc>
          <w:tcPr/>
          <w:p>
            <w:pPr>
              <w:pStyle w:val="Compact"/>
              <w:jc w:val="left"/>
            </w:pPr>
            <w:r>
              <w:t xml:space="preserve">Net Product Metric</w:t>
            </w:r>
          </w:p>
        </w:tc>
      </w:tr>
    </w:tbl>
    <w:p>
      <w:pPr>
        <w:pStyle w:val="BodyText"/>
      </w:pPr>
      <w:r>
        <w:t xml:space="preserve">*Adjusted for baseline cradle-to-gate inventory aggregation. Scope 3 upstream accounting coverage is audited at 97.4% of total mass and cost volume.</w:t>
      </w:r>
    </w:p>
    <w:bookmarkEnd w:id="35"/>
    <w:bookmarkStart w:id="36" w:name="hotspot-analysis"/>
    <w:p>
      <w:pPr>
        <w:pStyle w:val="Heading3"/>
      </w:pPr>
      <w:r>
        <w:t xml:space="preserve">5.2 Hotspot Analysis</w:t>
      </w:r>
    </w:p>
    <w:p>
      <w:pPr>
        <w:pStyle w:val="FirstParagraph"/>
      </w:pPr>
      <w:r>
        <w:t xml:space="preserve">The life cycle assessment reveals extreme concentration of environmental impact in upstream tier-2 and tier-3 raw material refining and component manufacturing:</w:t>
      </w:r>
    </w:p>
    <w:p>
      <w:pPr>
        <w:numPr>
          <w:ilvl w:val="0"/>
          <w:numId w:val="1004"/>
        </w:numPr>
        <w:pStyle w:val="Compact"/>
      </w:pPr>
      <w:r>
        <w:rPr>
          <w:bCs/>
          <w:b/>
        </w:rPr>
        <w:t xml:space="preserve">Enclosure Extruded Aluminum (38.6% of gross emissions):</w:t>
      </w:r>
      <w:r>
        <w:t xml:space="preserve"> </w:t>
      </w:r>
      <w:r>
        <w:t xml:space="preserve">Even with 45% recycled post-consumer scrap, the virgin bauxite smelting stage requires intensive electrolytic energy. Shifting to 100% certified European low-carbon aluminum (e.g., smelted with Nordic hydro or Icelandic geothermal power) would reduce enclosure impact from 84.37 kg to 42.10 kg CO</w:t>
      </w:r>
      <w:r>
        <w:rPr>
          <w:vertAlign w:val="subscript"/>
        </w:rPr>
        <w:t xml:space="preserve">2</w:t>
      </w:r>
      <w:r>
        <w:t xml:space="preserve">e.</w:t>
      </w:r>
    </w:p>
    <w:p>
      <w:pPr>
        <w:numPr>
          <w:ilvl w:val="0"/>
          <w:numId w:val="1004"/>
        </w:numPr>
        <w:pStyle w:val="Compact"/>
      </w:pPr>
      <w:r>
        <w:rPr>
          <w:bCs/>
          <w:b/>
        </w:rPr>
        <w:t xml:space="preserve">Electronics &amp; Semiconductors (39.8% of gross emissions):</w:t>
      </w:r>
      <w:r>
        <w:t xml:space="preserve"> </w:t>
      </w:r>
      <w:r>
        <w:t xml:space="preserve">Multilayer PCB fabrication and silicon microchip etching combine for 88.06 kg CO</w:t>
      </w:r>
      <w:r>
        <w:rPr>
          <w:vertAlign w:val="subscript"/>
        </w:rPr>
        <w:t xml:space="preserve">2</w:t>
      </w:r>
      <w:r>
        <w:t xml:space="preserve">e. Chemical-intensive cleanroom processing, high baking temperatures, and specialty gas consumption are dominant upstream drivers.</w:t>
      </w:r>
    </w:p>
    <w:p>
      <w:pPr>
        <w:numPr>
          <w:ilvl w:val="0"/>
          <w:numId w:val="1004"/>
        </w:numPr>
        <w:pStyle w:val="Compact"/>
      </w:pPr>
      <w:r>
        <w:rPr>
          <w:bCs/>
          <w:b/>
        </w:rPr>
        <w:t xml:space="preserve">Structural Polymers (11.7% of gross emissions):</w:t>
      </w:r>
      <w:r>
        <w:t xml:space="preserve"> </w:t>
      </w:r>
      <w:r>
        <w:t xml:space="preserve">The engineering thermoplastics (PC/PBT and glass-filled PA66) contribute 25.59 kg CO</w:t>
      </w:r>
      <w:r>
        <w:rPr>
          <w:vertAlign w:val="subscript"/>
        </w:rPr>
        <w:t xml:space="preserve">2</w:t>
      </w:r>
      <w:r>
        <w:t xml:space="preserve">e due to virgin petrochemical synthesis routes.</w:t>
      </w:r>
    </w:p>
    <w:p>
      <w:pPr>
        <w:numPr>
          <w:ilvl w:val="0"/>
          <w:numId w:val="1004"/>
        </w:numPr>
        <w:pStyle w:val="Compact"/>
      </w:pPr>
      <w:r>
        <w:rPr>
          <w:bCs/>
          <w:b/>
        </w:rPr>
        <w:t xml:space="preserve">Dutch Assembly Operations (&lt;0.3% of emissions):</w:t>
      </w:r>
      <w:r>
        <w:t xml:space="preserve"> </w:t>
      </w:r>
      <w:r>
        <w:t xml:space="preserve">Direct facility emissions are exceptionally lean due to automated, low-thermal assembly processes and the existing 100% wind power supply contract.</w:t>
      </w:r>
    </w:p>
    <w:bookmarkEnd w:id="36"/>
    <w:bookmarkStart w:id="37" w:name="X6554971ddddacccb7a4e4a4991c9108ec228725"/>
    <w:p>
      <w:pPr>
        <w:pStyle w:val="Heading3"/>
      </w:pPr>
      <w:r>
        <w:t xml:space="preserve">5.3 Data Quality Rating (DQR) &amp; Uncertainty Evaluation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Dimension</w:t>
            </w:r>
          </w:p>
        </w:tc>
        <w:tc>
          <w:tcPr/>
          <w:p>
            <w:pPr>
              <w:pStyle w:val="Compact"/>
              <w:jc w:val="left"/>
            </w:pPr>
            <w:r>
              <w:t xml:space="preserve">DQR Score (1-5 scale)</w:t>
            </w:r>
          </w:p>
        </w:tc>
        <w:tc>
          <w:tcPr/>
          <w:p>
            <w:pPr>
              <w:pStyle w:val="Compact"/>
              <w:jc w:val="left"/>
            </w:pPr>
            <w:r>
              <w:t xml:space="preserve">Evaluation Summary</w:t>
            </w:r>
          </w:p>
        </w:tc>
      </w:tr>
      <w:tr>
        <w:tc>
          <w:tcPr/>
          <w:p>
            <w:pPr>
              <w:pStyle w:val="Compact"/>
              <w:jc w:val="left"/>
            </w:pPr>
            <w:r>
              <w:rPr>
                <w:bCs/>
                <w:b/>
              </w:rPr>
              <w:t xml:space="preserve">Technological Representativeness (TeR)</w:t>
            </w:r>
          </w:p>
        </w:tc>
        <w:tc>
          <w:tcPr/>
          <w:p>
            <w:pPr>
              <w:pStyle w:val="Compact"/>
              <w:jc w:val="left"/>
            </w:pPr>
            <w:r>
              <w:t xml:space="preserve">1.2 (Excellent)</w:t>
            </w:r>
          </w:p>
        </w:tc>
        <w:tc>
          <w:tcPr/>
          <w:p>
            <w:pPr>
              <w:pStyle w:val="Compact"/>
              <w:jc w:val="left"/>
            </w:pPr>
            <w:r>
              <w:t xml:space="preserve">Primary BOM data with actual component part numbers, weights, and metallurgy specs.</w:t>
            </w:r>
          </w:p>
        </w:tc>
      </w:tr>
      <w:tr>
        <w:tc>
          <w:tcPr/>
          <w:p>
            <w:pPr>
              <w:pStyle w:val="Compact"/>
              <w:jc w:val="left"/>
            </w:pPr>
            <w:r>
              <w:rPr>
                <w:bCs/>
                <w:b/>
              </w:rPr>
              <w:t xml:space="preserve">Geographical Representativeness (GeR)</w:t>
            </w:r>
          </w:p>
        </w:tc>
        <w:tc>
          <w:tcPr/>
          <w:p>
            <w:pPr>
              <w:pStyle w:val="Compact"/>
              <w:jc w:val="left"/>
            </w:pPr>
            <w:r>
              <w:t xml:space="preserve">1.4 (Very Good)</w:t>
            </w:r>
          </w:p>
        </w:tc>
        <w:tc>
          <w:tcPr/>
          <w:p>
            <w:pPr>
              <w:pStyle w:val="Compact"/>
              <w:jc w:val="left"/>
            </w:pPr>
            <w:r>
              <w:t xml:space="preserve">Inbound distances and suppliers verified in EU-27; Dutch-specific electricity and gas factors.</w:t>
            </w:r>
          </w:p>
        </w:tc>
      </w:tr>
      <w:tr>
        <w:tc>
          <w:tcPr/>
          <w:p>
            <w:pPr>
              <w:pStyle w:val="Compact"/>
              <w:jc w:val="left"/>
            </w:pPr>
            <w:r>
              <w:rPr>
                <w:bCs/>
                <w:b/>
              </w:rPr>
              <w:t xml:space="preserve">Temporal Representativeness (TiR)</w:t>
            </w:r>
          </w:p>
        </w:tc>
        <w:tc>
          <w:tcPr/>
          <w:p>
            <w:pPr>
              <w:pStyle w:val="Compact"/>
              <w:jc w:val="left"/>
            </w:pPr>
            <w:r>
              <w:t xml:space="preserve">1.3 (Very Good)</w:t>
            </w:r>
          </w:p>
        </w:tc>
        <w:tc>
          <w:tcPr/>
          <w:p>
            <w:pPr>
              <w:pStyle w:val="Compact"/>
              <w:jc w:val="left"/>
            </w:pPr>
            <w:r>
              <w:t xml:space="preserve">Operational utility data from CY2025/2026; database emission factors ≤2 years old.</w:t>
            </w:r>
          </w:p>
        </w:tc>
      </w:tr>
      <w:tr>
        <w:tc>
          <w:tcPr/>
          <w:p>
            <w:pPr>
              <w:pStyle w:val="Compact"/>
              <w:jc w:val="left"/>
            </w:pPr>
            <w:r>
              <w:rPr>
                <w:bCs/>
                <w:b/>
              </w:rPr>
              <w:t xml:space="preserve">Completeness (C)</w:t>
            </w:r>
          </w:p>
        </w:tc>
        <w:tc>
          <w:tcPr/>
          <w:p>
            <w:pPr>
              <w:pStyle w:val="Compact"/>
              <w:jc w:val="left"/>
            </w:pPr>
            <w:r>
              <w:t xml:space="preserve">1.1 (Excellent)</w:t>
            </w:r>
          </w:p>
        </w:tc>
        <w:tc>
          <w:tcPr/>
          <w:p>
            <w:pPr>
              <w:pStyle w:val="Compact"/>
              <w:jc w:val="left"/>
            </w:pPr>
            <w:r>
              <w:t xml:space="preserve">97.4% of cradle-to-gate inputs measured, well above the 95% GHG Protocol compliance threshold.</w:t>
            </w:r>
          </w:p>
        </w:tc>
      </w:tr>
      <w:tr>
        <w:tc>
          <w:tcPr/>
          <w:p>
            <w:pPr>
              <w:pStyle w:val="Compact"/>
              <w:jc w:val="left"/>
            </w:pPr>
            <w:r>
              <w:rPr>
                <w:bCs/>
                <w:b/>
              </w:rPr>
              <w:t xml:space="preserve">Overall Assessment Score</w:t>
            </w:r>
          </w:p>
        </w:tc>
        <w:tc>
          <w:tcPr/>
          <w:p>
            <w:pPr>
              <w:pStyle w:val="Compact"/>
              <w:jc w:val="left"/>
            </w:pPr>
            <w:r>
              <w:rPr>
                <w:bCs/>
                <w:b/>
              </w:rPr>
              <w:t xml:space="preserve">1.25 (Robust)</w:t>
            </w:r>
          </w:p>
        </w:tc>
        <w:tc>
          <w:tcPr/>
          <w:p>
            <w:pPr>
              <w:pStyle w:val="Compact"/>
              <w:jc w:val="left"/>
            </w:pPr>
            <w:r>
              <w:rPr>
                <w:bCs/>
                <w:b/>
              </w:rPr>
              <w:t xml:space="preserve">High reliability for regulatory disclosure, EPD verification, and CSRD compliance.</w:t>
            </w:r>
          </w:p>
        </w:tc>
      </w:tr>
    </w:tbl>
    <w:bookmarkEnd w:id="37"/>
    <w:bookmarkStart w:id="38" w:name="Xf6fd559224e543c990218f06c7ef8c4a0be4baa"/>
    <w:p>
      <w:pPr>
        <w:pStyle w:val="Heading3"/>
      </w:pPr>
      <w:r>
        <w:t xml:space="preserve">5.4 Actionable Decarbonization Roadmap (2026–2030)</w:t>
      </w:r>
    </w:p>
    <w:p>
      <w:pPr>
        <w:numPr>
          <w:ilvl w:val="0"/>
          <w:numId w:val="1005"/>
        </w:numPr>
        <w:pStyle w:val="Compact"/>
      </w:pPr>
      <w:r>
        <w:rPr>
          <w:bCs/>
          <w:b/>
        </w:rPr>
        <w:t xml:space="preserve">Procure Ultra-Low-Carbon Certified Aluminum:</w:t>
      </w:r>
      <w:r>
        <w:t xml:space="preserve"> </w:t>
      </w:r>
      <w:r>
        <w:t xml:space="preserve">Partner with European extruders utilizing guaranteed scrap or hydro-powered smelters (&lt;4.0 kg CO</w:t>
      </w:r>
      <w:r>
        <w:rPr>
          <w:vertAlign w:val="subscript"/>
        </w:rPr>
        <w:t xml:space="preserve">2</w:t>
      </w:r>
      <w:r>
        <w:t xml:space="preserve">e/kg aluminum), enabling an immediate reduction of</w:t>
      </w:r>
      <w:r>
        <w:t xml:space="preserve"> </w:t>
      </w:r>
      <w:r>
        <w:rPr>
          <w:bCs/>
          <w:b/>
        </w:rPr>
        <w:t xml:space="preserve">~37.0 kg CO</w:t>
      </w:r>
      <w:r>
        <w:rPr>
          <w:vertAlign w:val="subscript"/>
          <w:bCs/>
          <w:b/>
        </w:rPr>
        <w:t xml:space="preserve">2</w:t>
      </w:r>
      <w:r>
        <w:rPr>
          <w:bCs/>
          <w:b/>
        </w:rPr>
        <w:t xml:space="preserve">e / unit (-17.3%)</w:t>
      </w:r>
      <w:r>
        <w:t xml:space="preserve">.</w:t>
      </w:r>
    </w:p>
    <w:p>
      <w:pPr>
        <w:numPr>
          <w:ilvl w:val="0"/>
          <w:numId w:val="1005"/>
        </w:numPr>
        <w:pStyle w:val="Compact"/>
      </w:pPr>
      <w:r>
        <w:rPr>
          <w:bCs/>
          <w:b/>
        </w:rPr>
        <w:t xml:space="preserve">Transition to Circular Bio-Circ Polymers:</w:t>
      </w:r>
      <w:r>
        <w:t xml:space="preserve"> </w:t>
      </w:r>
      <w:r>
        <w:t xml:space="preserve">Substitute virgin fossil PC/PBT with ISCC+ certified chemically recycled or bio-attributed resins for the external fascia, reducing polymer footprint by</w:t>
      </w:r>
      <w:r>
        <w:t xml:space="preserve"> </w:t>
      </w:r>
      <w:r>
        <w:rPr>
          <w:bCs/>
          <w:b/>
        </w:rPr>
        <w:t xml:space="preserve">~8.5 kg CO</w:t>
      </w:r>
      <w:r>
        <w:rPr>
          <w:vertAlign w:val="subscript"/>
          <w:bCs/>
          <w:b/>
        </w:rPr>
        <w:t xml:space="preserve">2</w:t>
      </w:r>
      <w:r>
        <w:rPr>
          <w:bCs/>
          <w:b/>
        </w:rPr>
        <w:t xml:space="preserve">e / unit (-4.0%)</w:t>
      </w:r>
      <w:r>
        <w:t xml:space="preserve">.</w:t>
      </w:r>
    </w:p>
    <w:p>
      <w:pPr>
        <w:numPr>
          <w:ilvl w:val="0"/>
          <w:numId w:val="1005"/>
        </w:numPr>
        <w:pStyle w:val="Compact"/>
      </w:pPr>
      <w:r>
        <w:rPr>
          <w:bCs/>
          <w:b/>
        </w:rPr>
        <w:t xml:space="preserve">Supply Chain Engagement for PCBAs:</w:t>
      </w:r>
      <w:r>
        <w:t xml:space="preserve"> </w:t>
      </w:r>
      <w:r>
        <w:t xml:space="preserve">Require primary European electronics manufacturing services (EMS) to utilize green-tariff energy contracts and solder paste recycling, targeting an embedded electronics reduction of</w:t>
      </w:r>
      <w:r>
        <w:t xml:space="preserve"> </w:t>
      </w:r>
      <w:r>
        <w:rPr>
          <w:bCs/>
          <w:b/>
        </w:rPr>
        <w:t xml:space="preserve">~18.0 kg CO</w:t>
      </w:r>
      <w:r>
        <w:rPr>
          <w:vertAlign w:val="subscript"/>
          <w:bCs/>
          <w:b/>
        </w:rPr>
        <w:t xml:space="preserve">2</w:t>
      </w:r>
      <w:r>
        <w:rPr>
          <w:bCs/>
          <w:b/>
        </w:rPr>
        <w:t xml:space="preserve">e / unit (-8.4%)</w:t>
      </w:r>
      <w:r>
        <w:t xml:space="preserve">.</w:t>
      </w:r>
    </w:p>
    <w:p>
      <w:pPr>
        <w:numPr>
          <w:ilvl w:val="0"/>
          <w:numId w:val="1005"/>
        </w:numPr>
        <w:pStyle w:val="Compact"/>
      </w:pPr>
      <w:r>
        <w:rPr>
          <w:bCs/>
          <w:b/>
        </w:rPr>
        <w:t xml:space="preserve">Eliminate Facility Natural Gas:</w:t>
      </w:r>
      <w:r>
        <w:t xml:space="preserve"> </w:t>
      </w:r>
      <w:r>
        <w:t xml:space="preserve">Electrify residual winter facility heating at the Dutch site via industrial air-water heat pumps powered by the existing wind contract, eliminating 100% of Scope 1 natural gas emissions.</w:t>
      </w:r>
    </w:p>
    <w:p>
      <w:pPr>
        <w:pStyle w:val="FirstParagraph"/>
      </w:pPr>
      <w:r>
        <w:t xml:space="preserve">carboncalcpcf.com • Certified GHG Protocol Carbon Footprint Report</w:t>
      </w:r>
    </w:p>
    <w:p>
      <w:pPr>
        <w:pStyle w:val="BodyText"/>
      </w:pPr>
      <w:r>
        <w:t xml:space="preserve">Confidential • Prepared for Technical Compliance • Page 2 of 2</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Commercial EV Charging Station (22 kW)</dc:title>
  <dc:creator/>
  <dc:description>Comprehensive Cradle-to-Factory Gate Product Carbon Footprint (PCF) Report for a 22 kW Commercial Smart EV Charging Station manufactured in the Netherlands, compliant with GHG Protocol Product Standard, 2026 LSR Standard, and European supply chain criteria.</dc:description>
  <dc:language>en</dc:language>
  <cp:keywords/>
  <dcterms:created xsi:type="dcterms:W3CDTF">2026-10-21T14:13:12Z</dcterms:created>
  <dcterms:modified xsi:type="dcterms:W3CDTF">2026-10-21T14:13:12Z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