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Commercial</w:t>
      </w:r>
      <w:r>
        <w:t xml:space="preserve"> </w:t>
      </w:r>
      <w:r>
        <w:t xml:space="preserve">EV</w:t>
      </w:r>
      <w:r>
        <w:t xml:space="preserve"> </w:t>
      </w:r>
      <w:r>
        <w:t xml:space="preserve">Charging</w:t>
      </w:r>
      <w:r>
        <w:t xml:space="preserve"> </w:t>
      </w:r>
      <w:r>
        <w:t xml:space="preserve">Station</w:t>
      </w:r>
      <w:r>
        <w:t xml:space="preserve"> </w:t>
      </w:r>
      <w:r>
        <w:t xml:space="preserve">(22</w:t>
      </w:r>
      <w:r>
        <w:t xml:space="preserve"> </w:t>
      </w:r>
      <w:r>
        <w:t xml:space="preserve">kW)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</w:p>
    <w:p>
      <w:pPr>
        <w:pStyle w:val="FirstParagraph"/>
      </w:pPr>
      <w:r>
        <w:t xml:space="preserve">carboncalcpcf.com</w:t>
      </w:r>
    </w:p>
    <w:p>
      <w:pPr>
        <w:pStyle w:val="BodyText"/>
      </w:pPr>
      <w:r>
        <w:t xml:space="preserve">GHG Protocol Verified Assessment Platform</w:t>
      </w:r>
    </w:p>
    <w:p>
      <w:pPr>
        <w:pStyle w:val="BodyText"/>
      </w:pPr>
      <w:r>
        <w:t xml:space="preserve">Product Carbon Footprint (PCF) Analysis Report</w:t>
      </w:r>
    </w:p>
    <w:p>
      <w:pPr>
        <w:pStyle w:val="BodyText"/>
      </w:pPr>
      <w:r>
        <w:t xml:space="preserve">Cradle-to-Gate Greenhouse Gas Inventory for Commercial Smart EV Charging Station (Dual-Socket 22 kW AC)</w:t>
      </w:r>
    </w:p>
    <w:p>
      <w:pPr>
        <w:pStyle w:val="BodyText"/>
      </w:pPr>
      <w:r>
        <w:t xml:space="preserve">Accounting Standard</w:t>
      </w:r>
      <w:r>
        <w:t xml:space="preserve"> </w:t>
      </w:r>
      <w:r>
        <w:t xml:space="preserve">GHG Protocol Product Life Cycle Accounting and Reporting Standard (2026 LSR Compliant)</w:t>
      </w:r>
    </w:p>
    <w:p>
      <w:pPr>
        <w:pStyle w:val="BodyText"/>
      </w:pPr>
      <w:r>
        <w:t xml:space="preserve">Functional Unit</w:t>
      </w:r>
      <w:r>
        <w:t xml:space="preserve"> </w:t>
      </w:r>
      <w:r>
        <w:t xml:space="preserve">1.0 unit (Dual-Socket Commercial EV Charging Station, packaged)</w:t>
      </w:r>
    </w:p>
    <w:p>
      <w:pPr>
        <w:pStyle w:val="BodyText"/>
      </w:pPr>
      <w:r>
        <w:t xml:space="preserve">System Boundary</w:t>
      </w:r>
      <w:r>
        <w:t xml:space="preserve"> </w:t>
      </w:r>
      <w:r>
        <w:t xml:space="preserve">Cradle-to-Gate (Factory Gate, Eindhoven, Netherlands)</w:t>
      </w:r>
    </w:p>
    <w:p>
      <w:pPr>
        <w:pStyle w:val="BodyText"/>
      </w:pPr>
      <w:r>
        <w:t xml:space="preserve">Geographic Scope</w:t>
      </w:r>
      <w:r>
        <w:t xml:space="preserve"> </w:t>
      </w:r>
      <w:r>
        <w:t xml:space="preserve">Final Production: Netherlands (NL) | Supply Chain: Europe-Focused</w:t>
      </w:r>
    </w:p>
    <w:p>
      <w:pPr>
        <w:pStyle w:val="BodyText"/>
      </w:pPr>
      <w:r>
        <w:t xml:space="preserve">Inventory Period</w:t>
      </w:r>
      <w:r>
        <w:t xml:space="preserve"> </w:t>
      </w:r>
      <w:r>
        <w:t xml:space="preserve">Calendar Year 2025 / Baseline Model Year 2026</w:t>
      </w:r>
    </w:p>
    <w:p>
      <w:pPr>
        <w:pStyle w:val="BodyText"/>
      </w:pPr>
      <w:r>
        <w:t xml:space="preserve">Scope 3 Coverage</w:t>
      </w:r>
      <w:r>
        <w:t xml:space="preserve"> </w:t>
      </w:r>
      <w:r>
        <w:t xml:space="preserve">98.4% of upstream mass and energy flows (Exceeds ≥ 95% 2026 rule)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Product Carbon Footprint (PCF) report has been generated based on representative bill-of-materials data, primary gate operational logs, and secondary background lifecycle inventory datasets (Ecoinvent v3.10 and DEFRA 2025/2026). Calculations follow the GHG Protocol Product Standard and the 2026 Land Sector and Removals (LSR) Guidance. Reported metrics reflect manufacturing and supply chain configurations under predefined allocation procedures.</w:t>
      </w:r>
    </w:p>
    <w:bookmarkStart w:id="20" w:name="X5da81bcc7bde7f37d7734242fb8197045a65a8a"/>
    <w:p>
      <w:pPr>
        <w:pStyle w:val="Heading2"/>
      </w:pPr>
      <w:r>
        <w:t xml:space="preserve">Product Carbon Footprint Report: Commercial EV Charger (22 kW)</w:t>
      </w:r>
    </w:p>
    <w:p>
      <w:pPr>
        <w:pStyle w:val="FirstParagraph"/>
      </w:pPr>
      <w:r>
        <w:t xml:space="preserve">carboncalcpcf.com</w:t>
      </w:r>
      <w:r>
        <w:br/>
      </w:r>
      <w:r>
        <w:t xml:space="preserve">Date of Issue: October 2026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rigorous cradle-to-gate Product Carbon Footprint (PCF) evaluation for</w:t>
      </w:r>
      <w:r>
        <w:t xml:space="preserve"> </w:t>
      </w:r>
      <w:r>
        <w:rPr>
          <w:bCs/>
          <w:b/>
        </w:rPr>
        <w:t xml:space="preserve">1.0 unit of a Commercial Smart Dual-Socket 22 kW AC Electric Vehicle (EV) Charging Station</w:t>
      </w:r>
      <w:r>
        <w:t xml:space="preserve">, assembled in North Brabant, Netherlands. The assessment adheres strictly to the</w:t>
      </w:r>
      <w:r>
        <w:t xml:space="preserve"> </w:t>
      </w:r>
      <w:r>
        <w:rPr>
          <w:iCs/>
          <w:i/>
        </w:rPr>
        <w:t xml:space="preserve">GHG Protocol Product Life Cycle Accounting and Reporting Standard</w:t>
      </w:r>
      <w:r>
        <w:t xml:space="preserve"> </w:t>
      </w:r>
      <w:r>
        <w:t xml:space="preserve">and integrates the requirements of the</w:t>
      </w:r>
      <w:r>
        <w:t xml:space="preserve"> </w:t>
      </w:r>
      <w:r>
        <w:rPr>
          <w:iCs/>
          <w:i/>
        </w:rPr>
        <w:t xml:space="preserve">2026 Land Sector and Removals (LSR) Standard</w:t>
      </w:r>
      <w:r>
        <w:t xml:space="preserve"> </w:t>
      </w:r>
      <w:r>
        <w:t xml:space="preserve">for biogenic carbon accounting in packaging materials.</w:t>
      </w:r>
    </w:p>
    <w:p>
      <w:pPr>
        <w:pStyle w:val="BodyText"/>
      </w:pPr>
      <w:r>
        <w:t xml:space="preserve">The cradle-to-gate carbon footprint is calculated at</w:t>
      </w:r>
      <w:r>
        <w:t xml:space="preserve"> </w:t>
      </w:r>
      <w:r>
        <w:rPr>
          <w:bCs/>
          <w:b/>
        </w:rPr>
        <w:t xml:space="preserve">174.62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per functional unit</w:t>
      </w:r>
      <w:r>
        <w:t xml:space="preserve"> </w:t>
      </w:r>
      <w:r>
        <w:t xml:space="preserve">(market-based Scope 2) and</w:t>
      </w:r>
      <w:r>
        <w:t xml:space="preserve"> </w:t>
      </w:r>
      <w:r>
        <w:rPr>
          <w:bCs/>
          <w:b/>
        </w:rPr>
        <w:t xml:space="preserve">178.64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 per functional unit</w:t>
      </w:r>
      <w:r>
        <w:t xml:space="preserve"> </w:t>
      </w:r>
      <w:r>
        <w:t xml:space="preserve">(location-based Scope 2).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1 (Direct Operations):</w:t>
      </w:r>
      <w:r>
        <w:t xml:space="preserve"> </w:t>
      </w:r>
      <w:r>
        <w:t xml:space="preserve">1.45 kg CO</w:t>
      </w:r>
      <w:r>
        <w:rPr>
          <w:vertAlign w:val="subscript"/>
        </w:rPr>
        <w:t xml:space="preserve">2</w:t>
      </w:r>
      <w:r>
        <w:t xml:space="preserve">e (0.83% of total). Direct combustion from on-site facility heating and emergency generator readiness.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2 (Purchased Energy - Market-based):</w:t>
      </w:r>
      <w:r>
        <w:t xml:space="preserve"> </w:t>
      </w:r>
      <w:r>
        <w:t xml:space="preserve">0.45 kg CO</w:t>
      </w:r>
      <w:r>
        <w:rPr>
          <w:vertAlign w:val="subscript"/>
        </w:rPr>
        <w:t xml:space="preserve">2</w:t>
      </w:r>
      <w:r>
        <w:t xml:space="preserve">e (0.26% of total). Facility operates under a certified Dutch Guarantees of Origin (GO) renewable electricity contract (wind/solar). Location-based grid equivalent equals 4.47 kg CO</w:t>
      </w:r>
      <w:r>
        <w:rPr>
          <w:vertAlign w:val="subscript"/>
        </w:rPr>
        <w:t xml:space="preserve">2</w:t>
      </w:r>
      <w:r>
        <w:t xml:space="preserve">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(Upstream Supply Chain):</w:t>
      </w:r>
      <w:r>
        <w:t xml:space="preserve"> </w:t>
      </w:r>
      <w:r>
        <w:t xml:space="preserve">172.72 kg CO</w:t>
      </w:r>
      <w:r>
        <w:rPr>
          <w:vertAlign w:val="subscript"/>
        </w:rPr>
        <w:t xml:space="preserve">2</w:t>
      </w:r>
      <w:r>
        <w:t xml:space="preserve">e (98.91% of total). Dominated by raw material extraction and component processing, specifically printed circuit board assemblies (PCBAs), extruded aluminum structural elements, and primary copper conductors.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Biogenic Balance:</w:t>
      </w:r>
      <w:r>
        <w:t xml:space="preserve"> </w:t>
      </w:r>
      <w:r>
        <w:t xml:space="preserve">Net biogenic carbon removals of</w:t>
      </w:r>
      <w:r>
        <w:t xml:space="preserve"> </w:t>
      </w:r>
      <w:r>
        <w:rPr>
          <w:bCs/>
          <w:b/>
        </w:rPr>
        <w:t xml:space="preserve">-3.41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 </w:t>
      </w:r>
      <w:r>
        <w:t xml:space="preserve">embedded in sustainably sourced unbleached kraft cardboard packaging, offset by biogenic land-use accounting rules.</w:t>
      </w:r>
    </w:p>
    <w:p>
      <w:r>
        <w:pict>
          <v:rect style="width:0;height:1.5pt" o:hralign="center" o:hrstd="t" o:hr="t"/>
        </w:pict>
      </w:r>
    </w:p>
    <w:bookmarkEnd w:id="21"/>
    <w:bookmarkStart w:id="22" w:name="step-1-define-scope-system-boundary"/>
    <w:p>
      <w:pPr>
        <w:pStyle w:val="Heading2"/>
      </w:pPr>
      <w:r>
        <w:t xml:space="preserve">Step 1: Define Scope &amp; System Boundary</w:t>
      </w:r>
    </w:p>
    <w:p>
      <w:pPr>
        <w:pStyle w:val="FirstParagraph"/>
      </w:pPr>
      <w:r>
        <w:t xml:space="preserve">The scope definition establishes the accounting perimeter and criteria applied across all tiers of the value chain: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Exactly 1.0 unit of an operational dual-socket 22 kW AC Commercial EV Charging Station, packaged in transport-ready corrugated carton, with an engineered mass of 24.35 kg (net unit weight: 22.05 kg; packaging: 2.30 kg).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Cradle-to-Gate (Factory Gate). The boundary encompasses raw material extraction, primary transformation, European intermediate shipping, sub-tier manufacturing (enclosures, electronics, cabling), final testing and assembly in the Netherlands, and final primary/secondary packaging at the factory exit gate. Distribution to customer, use-phase charging losses, and end-of-life treatments are excluded.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assembly located in the Netherlands (NL). Inbound supply chain tiers are localized primarily within the European Union (Germany, France, Poland, Belgium, and domestic Dutch suppliers).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Temporal Scope:</w:t>
      </w:r>
      <w:r>
        <w:t xml:space="preserve"> </w:t>
      </w:r>
      <w:r>
        <w:t xml:space="preserve">Operational baseline data reflects 2025/2026 continuous assembly schedules.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 Principles:</w:t>
      </w:r>
      <w:r>
        <w:t xml:space="preserve"> </w:t>
      </w:r>
      <w:r>
        <w:t xml:space="preserve">Multi-output allocation follows the physical mass and economic allocation hierarchy set forth by the GHG Protocol. Factory utility loads (HVAC, compressed air, automated test benches) were allocated using line-specific cycle time attribution.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Cut-off Criteria &amp; Scope 3 Coverage:</w:t>
      </w:r>
      <w:r>
        <w:t xml:space="preserve"> </w:t>
      </w:r>
      <w:r>
        <w:t xml:space="preserve">Less than 1.6% of mass/energy flows were excluded due to lack of traceable data (e.g., micro-adhesives, labels), fulfilling the 2026 GHG Protocol requirement of ≥ 95% Scope 3 lifecycle coverage.</w:t>
      </w:r>
    </w:p>
    <w:p>
      <w:r>
        <w:pict>
          <v:rect style="width:0;height:1.5pt" o:hralign="center" o:hrstd="t" o:hr="t"/>
        </w:pict>
      </w:r>
    </w:p>
    <w:bookmarkEnd w:id="22"/>
    <w:bookmarkStart w:id="23" w:name="X3cb51de87da3e7c23d3f61f305f381e92201c0d"/>
    <w:p>
      <w:pPr>
        <w:pStyle w:val="Heading2"/>
      </w:pPr>
      <w:r>
        <w:t xml:space="preserve">Step 2: Map Lifecycle Stages (LCI Inventory Mapping)</w:t>
      </w:r>
    </w:p>
    <w:p>
      <w:pPr>
        <w:pStyle w:val="FirstParagraph"/>
      </w:pPr>
      <w:r>
        <w:t xml:space="preserve">The cradle-to-gate product flow is structured into five distinct Life Cycle Inventory (LCI) stages: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Stage 1: Raw Material Extraction &amp; Refining (Upstream Scope 3, Cat. 1):</w:t>
      </w:r>
      <w:r>
        <w:t xml:space="preserve"> </w:t>
      </w:r>
      <w:r>
        <w:t xml:space="preserve">Mining and refining of bauxite/aluminum, iron ore for galvanized chassis, cathode copper refining, petroleum refining for technical polymers (PC/ABS blend), and silicon substrate wafer manufacturing.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Stage 2: Intermediate Parts Manufacturing (Upstream Scope 3, Cat. 1):</w:t>
      </w:r>
      <w:r>
        <w:t xml:space="preserve"> </w:t>
      </w:r>
      <w:r>
        <w:t xml:space="preserve">High-precision extrusion of the aluminum housing, injection molding of IP54-rated front covers, surface-mount PCB assembly (SMT lines), and contactor/contactor coil fabrication.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Stage 3: Inbound Logistics (Upstream Scope 3, Cat. 4):</w:t>
      </w:r>
      <w:r>
        <w:t xml:space="preserve"> </w:t>
      </w:r>
      <w:r>
        <w:t xml:space="preserve">Freight transit from component tier-1 vendors across Germany, Poland, and France to the central assembly hub in the Netherlands via Euro 6 diesel commercial transport and intermodal rail.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Stage 4: Dutch Assembly &amp; Final Functional Testing (Scope 1 &amp; Scope 2):</w:t>
      </w:r>
      <w:r>
        <w:t xml:space="preserve"> </w:t>
      </w:r>
      <w:r>
        <w:t xml:space="preserve">Mechanical integration, automated torque fastening, wire harnessing, automated high-voltage dielectric testing, burn-in validation, software flashing, and space heating/ventilation.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Stage 5: Packaging &amp; Factory Gate Warehousing (Upstream Scope 3 &amp; LSR Module):</w:t>
      </w:r>
      <w:r>
        <w:t xml:space="preserve"> </w:t>
      </w:r>
      <w:r>
        <w:t xml:space="preserve">Application of FSC-certified corrugated packaging, molded pulp interior corner buffers, barcode bagging, and pallet staging at the Dutch factory exit gate.</w:t>
      </w:r>
    </w:p>
    <w:p>
      <w:r>
        <w:pict>
          <v:rect style="width:0;height:1.5pt" o:hralign="center" o:hrstd="t" o:hr="t"/>
        </w:pict>
      </w:r>
    </w:p>
    <w:bookmarkEnd w:id="23"/>
    <w:bookmarkStart w:id="25" w:name="X77489ee3778f94bb65db07d6c14ef01fb0c5de1"/>
    <w:p>
      <w:pPr>
        <w:pStyle w:val="Heading2"/>
      </w:pPr>
      <w:r>
        <w:t xml:space="preserve">Step 3: Collect Data (Primary &amp; Secondary Inputs)</w:t>
      </w:r>
    </w:p>
    <w:p>
      <w:pPr>
        <w:pStyle w:val="FirstParagraph"/>
      </w:pPr>
      <w:r>
        <w:t xml:space="preserve">Primary activity data was sourced directly from ERP records, engineering bills of materials (BOM), plant sub-metering, and supplier declarations. Background lifecycle emission factors are drawn from peer-reviewed databases (Ecoinvent v3.10 cut-off, DEFRA/DESNZ 2025, and European Aluminium Environmental Profile Report).</w:t>
      </w:r>
    </w:p>
    <w:bookmarkStart w:id="24" w:name="X6b69774c6e1d63f77c532ca9a9a87eee8dbfe47"/>
    <w:p>
      <w:pPr>
        <w:pStyle w:val="Heading3"/>
      </w:pPr>
      <w:r>
        <w:t xml:space="preserve">Table 1: Bill of Materials &amp; Primary Operational Activity Data (Per 1.0 Unit)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Component / Flow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Input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 / Supplier Origin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Structural Enclosure Body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Extruded Aluminum (AlMgSi0.5, 40% recycled)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 Mill (Germany)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Frame &amp; DIN Rails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Galvanized Sheet Steel (Zinc-coated)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Fabricator (Belgium)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Busbars &amp;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High-purity Oxygen-Free Copper (Cu-ETP)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Cable Manufacturer (Poland)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Front Shell &amp; Socket Flaps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Polycarbonate / PBT Blend (UL94-V0)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 Compounder (Netherlands)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Main Controller &amp; Comm PCBAs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Multi-layer FR4, SMT components, ICs, Microcontroller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EMS Facility (Germany)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Heavy Duty Switching Contactors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Electromechanical Relays, Silver alloy contacts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Tier 1 Electrical (France)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 Energy Meters &amp; 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Sub-assemblies, CTs, LCD display, circuitry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Tier 1 Supplier (Germany)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Protective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Corrugated Cardboard (FSC, 75% recycled)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2.30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Specific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Supplier (Netherlands)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Facility Electricity (Assembly)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Dutch Electricity Mix / GO Solar-Wind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13.80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Metered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Eindhoven Facility Submeter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Facility Heating (Assembly)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Gas Combustion (Low-NOx boiler)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 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Metered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Utility Invoice Allocation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Freight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Road Freight (Euro 6 articulated, 16-32t)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16.85 t-km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/ Distance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Carrier Logistics Manifests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End w:id="25"/>
    <w:bookmarkStart w:id="29" w:name="step-4-calculate-emissions"/>
    <w:p>
      <w:pPr>
        <w:pStyle w:val="Heading2"/>
      </w:pPr>
      <w:r>
        <w:t xml:space="preserve">Step 4: Calculate Emissions</w:t>
      </w:r>
    </w:p>
    <w:p>
      <w:pPr>
        <w:pStyle w:val="FirstParagraph"/>
      </w:pPr>
      <w:r>
        <w:t xml:space="preserve">Emissions are calculated applying the formula:</w:t>
      </w:r>
      <w:r>
        <w:t xml:space="preserve"> </w:t>
      </w:r>
      <w:r>
        <w:rPr>
          <w:rStyle w:val="VerbatimChar"/>
        </w:rPr>
        <w:t xml:space="preserve">Emissions (kg CO</w:t>
      </w:r>
      <w:r>
        <w:rPr>
          <w:rStyle w:val="VerbatimChar"/>
          <w:vertAlign w:val="subscript"/>
        </w:rPr>
        <w:t xml:space="preserve">2</w:t>
      </w:r>
      <w:r>
        <w:rPr>
          <w:rStyle w:val="VerbatimChar"/>
        </w:rPr>
        <w:t xml:space="preserve">e) = Activity Data × Emission Factor</w:t>
      </w:r>
      <w:r>
        <w:t xml:space="preserve">. Global Warming Potentials (GWPs) are based on the IPCC 6th Assessment Report (AR6) 100-year metrics.</w:t>
      </w:r>
    </w:p>
    <w:bookmarkStart w:id="26" w:name="X02d1cd50d04992b24c2fb80b35d349d14ef9701"/>
    <w:p>
      <w:pPr>
        <w:pStyle w:val="Heading3"/>
      </w:pPr>
      <w:r>
        <w:t xml:space="preserve">Table 2: Upstream Scope 3 Emissions (Purchased Goods &amp; Freight - Category 1 &amp; 4)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Inventory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Factor (kg CO</w:t>
            </w:r>
            <w:r>
              <w:rPr>
                <w:vertAlign w:val="subscript"/>
              </w:rPr>
              <w:t xml:space="preserve">2</w:t>
            </w:r>
            <w:r>
              <w:t xml:space="preserve">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Category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Extruded Aluminum Enclosure (40% rec.)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6.450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Galvanized Sheet Steel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Refined Copper Wiring &amp; Busbars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Polycarbonate / PBT Blend (Injection)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3.880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PCBA &amp; Active Semiconductors (SMT)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57.38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Electromechanical Contactors &amp; Relays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 Meters &amp; Electronic 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Corrugated Packaging (Fossil GWP only)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European Road Transport (Euro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t-km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Fuel &amp; Energy Activities (WTT)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Cat 3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Upstream Scope 3 Emissions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172.72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Xd1361085b2b83910acba2d76c74af155289b6ac"/>
    <w:p>
      <w:pPr>
        <w:pStyle w:val="Heading3"/>
      </w:pPr>
      <w:r>
        <w:t xml:space="preserve">Table 3: Direct Operations &amp; Energy Emissions (Scope 1 &amp; Scope 2 at Netherlands Facility)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Operational 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Factor (kg CO</w:t>
            </w:r>
            <w:r>
              <w:rPr>
                <w:vertAlign w:val="subscript"/>
              </w:rPr>
              <w:t xml:space="preserve">2</w:t>
            </w:r>
            <w:r>
              <w:t xml:space="preserve">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Category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Natural Gas Heating (Facility space heat)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Purchased Electricity (Market-based: NL GO Wind)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(MB)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Scope 1 &amp; Scope 2 (Market-based)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1.90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Memo: Scope 2 (Location-based: Dutch Grid Residual)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13.80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0.3240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4.47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(LB)</w:t>
            </w:r>
          </w:p>
        </w:tc>
      </w:tr>
    </w:tbl>
    <w:p>
      <w:pPr>
        <w:pStyle w:val="BodyText"/>
      </w:pPr>
      <w:r>
        <w:rPr>
          <w:bCs/>
          <w:b/>
        </w:rPr>
        <w:t xml:space="preserve">2026 Land Sector and Removals (LSR) Standard Accounting Module:</w:t>
      </w:r>
    </w:p>
    <w:p>
      <w:pPr>
        <w:pStyle w:val="BodyText"/>
      </w:pPr>
      <w:r>
        <w:t xml:space="preserve">In compliance with the GHG Protocol 2026 LSR Standard, biogenic carbon flows within paper and packaging must be reported separately from fossil emissions and must not be netted without land-tracking verification: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Biogenic Removals (Packaging Bio-feedstock):</w:t>
      </w:r>
      <w:r>
        <w:t xml:space="preserve"> </w:t>
      </w:r>
      <w:r>
        <w:t xml:space="preserve">-3.41 kg CO</w:t>
      </w:r>
      <w:r>
        <w:rPr>
          <w:vertAlign w:val="subscript"/>
        </w:rPr>
        <w:t xml:space="preserve">2</w:t>
      </w:r>
      <w:r>
        <w:t xml:space="preserve">e (calculated based on 2.30 kg kraft corrugated board containing 43.5% biogenic carbon content, 0.435 × (44/12) × 2.30 = -3.79 kg gross removals, adjusted for processing losses = -3.41 kg CO</w:t>
      </w:r>
      <w:r>
        <w:rPr>
          <w:vertAlign w:val="subscript"/>
        </w:rPr>
        <w:t xml:space="preserve">2</w:t>
      </w:r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Land Use Change (dLUC / sLUC):</w:t>
      </w:r>
      <w:r>
        <w:t xml:space="preserve"> </w:t>
      </w:r>
      <w:r>
        <w:t xml:space="preserve">0.00 kg CO</w:t>
      </w:r>
      <w:r>
        <w:rPr>
          <w:vertAlign w:val="subscript"/>
        </w:rPr>
        <w:t xml:space="preserve">2</w:t>
      </w:r>
      <w:r>
        <w:t xml:space="preserve">e (FSC-certified plantation fiber chain-of-custody confirms zero primary forest conversion post-2020 cutoff).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 PCF Reporting:</w:t>
      </w:r>
      <w:r>
        <w:t xml:space="preserve"> </w:t>
      </w:r>
      <w:r>
        <w:t xml:space="preserve">Fossil GHG total =</w:t>
      </w:r>
      <w:r>
        <w:t xml:space="preserve"> </w:t>
      </w:r>
      <w:r>
        <w:rPr>
          <w:bCs/>
          <w:b/>
        </w:rPr>
        <w:t xml:space="preserve">174.62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. Biogenic gross removal =</w:t>
      </w:r>
      <w:r>
        <w:t xml:space="preserve"> </w:t>
      </w:r>
      <w:r>
        <w:rPr>
          <w:bCs/>
          <w:b/>
        </w:rPr>
        <w:t xml:space="preserve">-3.41 kg 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 </w:t>
      </w:r>
      <w:r>
        <w:t xml:space="preserve">(reported as a separate line item per 2026 LSR rules).</w:t>
      </w:r>
    </w:p>
    <w:bookmarkEnd w:id="27"/>
    <w:bookmarkStart w:id="28" w:name="Xecb2241528fc6f6891471fde59800d6712f7899"/>
    <w:p>
      <w:pPr>
        <w:pStyle w:val="Heading3"/>
      </w:pPr>
      <w:r>
        <w:t xml:space="preserve">Table 4: Comprehensive Carbon Footprint Summary by GHG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Dimension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Share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1: Direct Manufacturing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Chapter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2: Purchased Electricity (Market-based)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Guidance (Dual-reporting)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3: Upstream Value Chain (Cat. 1, 3,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172.72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98.91%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Standard (≥ 95% Coverage)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 (Factory Gate)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174.62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Cradle-to-Gate FU: 1.0 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LSR Biogenic Carbon Removals (Stored in Packaging)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(Reported Separately)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Land Sector &amp; Removals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8"/>
    <w:bookmarkEnd w:id="29"/>
    <w:bookmarkStart w:id="31" w:name="step-5-review-hotspot-analysis"/>
    <w:p>
      <w:pPr>
        <w:pStyle w:val="Heading2"/>
      </w:pPr>
      <w:r>
        <w:t xml:space="preserve">Step 5: Review &amp; Hotspot Analysis</w:t>
      </w:r>
    </w:p>
    <w:p>
      <w:pPr>
        <w:pStyle w:val="FirstParagraph"/>
      </w:pPr>
      <w:r>
        <w:t xml:space="preserve">An examination of the lifecycle stages reveals critical emission drivers and points toward targeted decarbonization pathways: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Major Hotspot 1 — Printed Circuit Board Assemblies (PCBAs) (32.8% of Total PCF):</w:t>
      </w:r>
      <w:r>
        <w:t xml:space="preserve"> </w:t>
      </w:r>
      <w:r>
        <w:t xml:space="preserve">Despite constituting only 1.35 kg (5.5% of gross mass), the microcontrollers, integrated gate drivers, memory modules, and multilayer gold/tin-plated substrates represent 57.38 kg CO</w:t>
      </w:r>
      <w:r>
        <w:rPr>
          <w:vertAlign w:val="subscript"/>
        </w:rPr>
        <w:t xml:space="preserve">2</w:t>
      </w:r>
      <w:r>
        <w:t xml:space="preserve">e. This intensity originates from cleanroom thermal oxidation, wafer lithography, and chemical vapor deposition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Major Hotspot 2 — Aluminum Structural Enclosure (28.8% of Total PCF):</w:t>
      </w:r>
      <w:r>
        <w:t xml:space="preserve"> </w:t>
      </w:r>
      <w:r>
        <w:t xml:space="preserve">At 50.31 kg CO</w:t>
      </w:r>
      <w:r>
        <w:rPr>
          <w:vertAlign w:val="subscript"/>
        </w:rPr>
        <w:t xml:space="preserve">2</w:t>
      </w:r>
      <w:r>
        <w:t xml:space="preserve">e, virgin smelting portions within the 40% recycled aluminum extrusion represent the single largest structural material contributor. Transitioning to certified 75%+ post-consumer scrap alloy (e.g., Hydro CIRCAL 75R or equivalent) would reduce this line item by up to 28 kg CO</w:t>
      </w:r>
      <w:r>
        <w:rPr>
          <w:vertAlign w:val="subscript"/>
        </w:rPr>
        <w:t xml:space="preserve">2</w:t>
      </w:r>
      <w:r>
        <w:t xml:space="preserve">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Major Hotspot 3 — Copper Conductors &amp; Coils (9.7% of Total PCF):</w:t>
      </w:r>
      <w:r>
        <w:t xml:space="preserve"> </w:t>
      </w:r>
      <w:r>
        <w:t xml:space="preserve">Copper smelting and drawing for the 4.10 kg internal busbars and charging socket contact ribbons account for 17.02 kg CO</w:t>
      </w:r>
      <w:r>
        <w:rPr>
          <w:vertAlign w:val="subscript"/>
        </w:rPr>
        <w:t xml:space="preserve">2</w:t>
      </w:r>
      <w:r>
        <w:t xml:space="preserve">e. Utilizing certified European recycled secondary copper could deliver an estimated 45% reduction in copper-associated footprint.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Manufacturing Site Optimization (Netherlands):</w:t>
      </w:r>
      <w:r>
        <w:t xml:space="preserve"> </w:t>
      </w:r>
      <w:r>
        <w:t xml:space="preserve">The plant\'s direct Scope 1 and Scope 2 emissions comprise only 1.09% of total cradle-to-gate emissions due to the active deployment of on-site rooftop PV generation and verified Dutch wind Guarantees of Origin contracts.</w:t>
      </w:r>
    </w:p>
    <w:bookmarkStart w:id="30" w:name="data-quality-reliability-assessment"/>
    <w:p>
      <w:pPr>
        <w:pStyle w:val="Heading3"/>
      </w:pPr>
      <w:r>
        <w:t xml:space="preserve">Data Quality &amp; Reliability Assessment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DQR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Score (1-5)*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Consultant Evaluation &amp; Justification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Technological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 (Very 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bill-of-materials matching exact engineering specifications, component architectures, and actual European assembly methods.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Geographical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 (Very 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Tier 1 suppliers and tier 2 logistics mapped specifically across Benelux, Germany, and France with regional electricity grids.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Temporal 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 (Very 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assembly data recorded within the 2025/2026 fiscal cycle; background factors updated to DEFRA 2025 and Ecoinvent 3.10.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 (Very 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mass coverage reached 98.4%, easily surpassing the mandatory 95% threshold required by the 2026 GHG Protocol revision.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Measurement Precision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(High)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 power and gas metered on site; component weights measured to ±0.005 kg tolerance on factory balance lines.</w:t>
            </w:r>
          </w:p>
        </w:tc>
      </w:tr>
    </w:tbl>
    <w:p>
      <w:pPr>
        <w:pStyle w:val="BodyText"/>
      </w:pPr>
      <w:r>
        <w:t xml:space="preserve">*Scoring based on GHG Protocol Data Quality Rating (DQR) matrix: 1 = Excellent / Verified; 5 = Poor / High Uncertainty.</w:t>
      </w:r>
    </w:p>
    <w:p>
      <w:pPr>
        <w:pStyle w:val="BodyText"/>
      </w:pPr>
      <w:r>
        <w:t xml:space="preserve">Confidential — Internal Use &amp; Certified Product Disclosure</w:t>
      </w:r>
    </w:p>
    <w:p>
      <w:pPr>
        <w:pStyle w:val="BodyText"/>
      </w:pPr>
      <w:r>
        <w:t xml:space="preserve">Report ID: PCF-NL-2026-EV22KW • carboncalcpcf.com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Commercial EV Charging Station (22 kW) - Netherlands</dc:title>
  <dc:creator/>
  <dc:description>Comprehensive Product Carbon Footprint (PCF) report for a Commercial 22 kW EV Charging Station manufactured in the Netherlands, compliant with GHG Protocol Product Standard and 2026 Land Sector and Removals (LSR) Guidance.</dc:description>
  <dc:language>en</dc:language>
  <cp:keywords/>
  <dcterms:created xsi:type="dcterms:W3CDTF">2026-10-21T14:14:09Z</dcterms:created>
  <dcterms:modified xsi:type="dcterms:W3CDTF">2026-10-21T14:14:09Z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