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Acetic</w:t>
      </w:r>
      <w:r>
        <w:t xml:space="preserve"> </w:t>
      </w:r>
      <w:r>
        <w:t xml:space="preserve">Acid</w:t>
      </w:r>
      <w:r>
        <w:t xml:space="preserve"> </w:t>
      </w:r>
      <w:r>
        <w:t xml:space="preserve">-</w:t>
      </w:r>
      <w:r>
        <w:t xml:space="preserve"> </w:t>
      </w: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(PCF)</w:t>
      </w:r>
      <w:r>
        <w:t xml:space="preserve"> </w:t>
      </w:r>
      <w:r>
        <w:t xml:space="preserve">Analysis</w:t>
      </w:r>
    </w:p>
    <w:p>
      <w:pPr>
        <w:pStyle w:val="FirstParagraph"/>
      </w:pPr>
      <w:r>
        <w:t xml:space="preserve">businessanalytiq.com</w:t>
      </w:r>
    </w:p>
    <w:p>
      <w:pPr>
        <w:pStyle w:val="BodyText"/>
      </w:pPr>
      <w:r>
        <w:t xml:space="preserve">GHG Protocol Product Standard Compliant</w:t>
      </w:r>
    </w:p>
    <w:bookmarkStart w:id="20" w:name="product-carbon-footprint-pcf-analysis"/>
    <w:p>
      <w:pPr>
        <w:pStyle w:val="Heading1"/>
      </w:pPr>
      <w:r>
        <w:t xml:space="preserve">Product Carbon Footprint (PCF) Analysis</w:t>
      </w:r>
    </w:p>
    <w:p>
      <w:pPr>
        <w:pStyle w:val="FirstParagraph"/>
      </w:pPr>
      <w:r>
        <w:t xml:space="preserve">Cradle-to-Gate Life Cycle Greenhouse Gas Accounting for 1.0 kg Acetic Acid (CH₃COOH)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Product Life Cycle Accounting and Reporting Standard</w:t>
      </w:r>
    </w:p>
    <w:p>
      <w:pPr>
        <w:pStyle w:val="BodyText"/>
      </w:pPr>
      <w:r>
        <w:rPr>
          <w:bCs/>
          <w:b/>
        </w:rPr>
        <w:t xml:space="preserve">Framework Alignment:</w:t>
      </w:r>
      <w:r>
        <w:t xml:space="preserve"> </w:t>
      </w:r>
      <w:r>
        <w:t xml:space="preserve">2026 GHG Protocol Land Sector and Removals (LSR) Standard</w:t>
      </w:r>
    </w:p>
    <w:p>
      <w:pPr>
        <w:pStyle w:val="BodyTex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kg Technical Grade Acetic Acid (≥99.85% purity)</w:t>
      </w:r>
    </w:p>
    <w:p>
      <w:pPr>
        <w:pStyle w:val="BodyTex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Factory-Gate (Cradle-to-Gate)</w:t>
      </w:r>
    </w:p>
    <w:p>
      <w:pPr>
        <w:pStyle w:val="BodyTex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Global Supply Chain / Global Representative Production</w:t>
      </w:r>
    </w:p>
    <w:p>
      <w:pPr>
        <w:pStyle w:val="BodyText"/>
      </w:pPr>
      <w:r>
        <w:rPr>
          <w:bCs/>
          <w:b/>
        </w:rPr>
        <w:t xml:space="preserve">Assessment Date:</w:t>
      </w:r>
      <w:r>
        <w:t xml:space="preserve"> </w:t>
      </w:r>
      <w:r>
        <w:t xml:space="preserve">October 2026</w:t>
      </w:r>
    </w:p>
    <w:p>
      <w:pPr>
        <w:pStyle w:val="BodyText"/>
      </w:pPr>
      <w:r>
        <w:rPr>
          <w:bCs/>
          <w:b/>
        </w:rPr>
        <w:t xml:space="preserve">Lead Assessor:</w:t>
      </w:r>
      <w:r>
        <w:t xml:space="preserve"> </w:t>
      </w:r>
      <w:r>
        <w:t xml:space="preserve">Senior Sustainability Consultant (GHG Protocol Lead Specialist)</w:t>
      </w:r>
    </w:p>
    <w:bookmarkEnd w:id="20"/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report is generated based on verified industrial inventory data, peer-reviewed Life Cycle Inventory (LCI) databases (Ecoinvent v3.10, PlasticsEurope eco-profiles, EF 3.1), and recognized international emissions accounting standards. While industry-standard factors and conservative stoichiometric-engineering balances have been applied, actual facility-level performance may vary based on local energy grids, specific catalyst technologies (e.g., Cativa™ vs. Monsanto), and primary upstream vendor allocations.</w:t>
      </w:r>
    </w:p>
    <w:p>
      <w:pPr>
        <w:pStyle w:val="BodyText"/>
      </w:pPr>
      <w:r>
        <w:t xml:space="preserve">Product Carbon Footprint: Acetic Acid (1.0 kg)</w:t>
      </w:r>
    </w:p>
    <w:p>
      <w:pPr>
        <w:pStyle w:val="BodyText"/>
      </w:pPr>
      <w:r>
        <w:t xml:space="preserve">Generated: October 2026 | businessanalytiq.com</w:t>
      </w:r>
    </w:p>
    <w:bookmarkStart w:id="32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report provides a comprehensive, high-granularity Product Carbon Footprint (PCF) analysis for</w:t>
      </w:r>
      <w:r>
        <w:t xml:space="preserve"> </w:t>
      </w:r>
      <w:r>
        <w:rPr>
          <w:bCs/>
          <w:b/>
        </w:rPr>
        <w:t xml:space="preserve">1.0 kg of Acetic Acid (CH₃COOH)</w:t>
      </w:r>
      <w:r>
        <w:t xml:space="preserve"> </w:t>
      </w:r>
      <w:r>
        <w:t xml:space="preserve">synthesized via the dominant global commercial pathway: the homogeneous transition-metal catalyzed carbonylation of methanol (predominantly the BP Cativa™ iridium-based and Monsanto rhodium-based processes).</w:t>
      </w:r>
    </w:p>
    <w:p>
      <w:pPr>
        <w:pStyle w:val="BodyText"/>
      </w:pPr>
      <w:r>
        <w:t xml:space="preserve">The assessment is executed strictly in compliance with the</w:t>
      </w:r>
      <w:r>
        <w:t xml:space="preserve"> </w:t>
      </w:r>
      <w:r>
        <w:rPr>
          <w:bCs/>
          <w:b/>
        </w:rPr>
        <w:t xml:space="preserve">GHG Protocol Product Life Cycle Accounting and Reporting Standard</w:t>
      </w:r>
      <w:r>
        <w:t xml:space="preserve">, integrated with the</w:t>
      </w:r>
      <w:r>
        <w:t xml:space="preserve"> </w:t>
      </w:r>
      <w:r>
        <w:rPr>
          <w:bCs/>
          <w:b/>
        </w:rPr>
        <w:t xml:space="preserve">GHG Protocol Corporate Value Chain (Scope 3) Standard</w:t>
      </w:r>
      <w:r>
        <w:t xml:space="preserve">, and incorporates the mandatory requirements of the</w:t>
      </w:r>
      <w:r>
        <w:t xml:space="preserve"> </w:t>
      </w:r>
      <w:r>
        <w:rPr>
          <w:bCs/>
          <w:b/>
        </w:rPr>
        <w:t xml:space="preserve">2026 Land Sector and Removals (LSR) Standard</w:t>
      </w:r>
      <w:r>
        <w:t xml:space="preserve"> </w:t>
      </w:r>
      <w:r>
        <w:t xml:space="preserve">for fossil/biogenic partitioning and land-use accounting.</w:t>
      </w:r>
    </w:p>
    <w:p>
      <w:pPr>
        <w:pStyle w:val="BodyText"/>
      </w:pPr>
      <w:r>
        <w:t xml:space="preserve">1.758 kg</w:t>
      </w:r>
    </w:p>
    <w:p>
      <w:pPr>
        <w:pStyle w:val="BodyText"/>
      </w:pPr>
      <w:r>
        <w:t xml:space="preserve">Total PCF (CO₂e / kg)</w:t>
      </w:r>
    </w:p>
    <w:p>
      <w:pPr>
        <w:pStyle w:val="BodyText"/>
      </w:pPr>
      <w:r>
        <w:t xml:space="preserve">0.312 kg</w:t>
      </w:r>
    </w:p>
    <w:p>
      <w:pPr>
        <w:pStyle w:val="BodyText"/>
      </w:pPr>
      <w:r>
        <w:t xml:space="preserve">Scope 1 Direct</w:t>
      </w:r>
    </w:p>
    <w:p>
      <w:pPr>
        <w:pStyle w:val="BodyText"/>
      </w:pPr>
      <w:r>
        <w:t xml:space="preserve">0.246 kg</w:t>
      </w:r>
    </w:p>
    <w:p>
      <w:pPr>
        <w:pStyle w:val="BodyText"/>
      </w:pPr>
      <w:r>
        <w:t xml:space="preserve">Scope 2 (Market-based)</w:t>
      </w:r>
    </w:p>
    <w:p>
      <w:pPr>
        <w:pStyle w:val="BodyText"/>
      </w:pPr>
      <w:r>
        <w:t xml:space="preserve">1.200 kg</w:t>
      </w:r>
    </w:p>
    <w:p>
      <w:pPr>
        <w:pStyle w:val="BodyText"/>
      </w:pPr>
      <w:r>
        <w:t xml:space="preserve">Scope 3 (Upstream)</w:t>
      </w:r>
    </w:p>
    <w:p>
      <w:pPr>
        <w:pStyle w:val="BodyText"/>
      </w:pPr>
      <w:r>
        <w:rPr>
          <w:bCs/>
          <w:b/>
        </w:rPr>
        <w:t xml:space="preserve">Key Assessment Takeaways: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Total Cradle-to-Gate Carbon Footprint:</w:t>
      </w:r>
      <w:r>
        <w:t xml:space="preserve"> </w:t>
      </w:r>
      <w:r>
        <w:rPr>
          <w:bCs/>
          <w:b/>
        </w:rPr>
        <w:t xml:space="preserve">1.758 kg CO₂e per 1.0 kg</w:t>
      </w:r>
      <w:r>
        <w:t xml:space="preserve"> </w:t>
      </w:r>
      <w:r>
        <w:t xml:space="preserve">of pure acetic acid at factory gate.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Upstream Supply Chain Dominance (Scope 3):</w:t>
      </w:r>
      <w:r>
        <w:t xml:space="preserve"> </w:t>
      </w:r>
      <w:r>
        <w:t xml:space="preserve">Upstream value chain emissions represent</w:t>
      </w:r>
      <w:r>
        <w:t xml:space="preserve"> </w:t>
      </w:r>
      <w:r>
        <w:rPr>
          <w:bCs/>
          <w:b/>
        </w:rPr>
        <w:t xml:space="preserve">68.26%</w:t>
      </w:r>
      <w:r>
        <w:t xml:space="preserve"> </w:t>
      </w:r>
      <w:r>
        <w:t xml:space="preserve">of total emissions, primarily driven by fossil-derived methanol synthesis and synthesis gas carbon monoxide (CO) production.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3 Inventory Coverage:</w:t>
      </w:r>
      <w:r>
        <w:t xml:space="preserve"> </w:t>
      </w:r>
      <w:r>
        <w:t xml:space="preserve">Exceeds the 2026 GHG Protocol threshold (≥95% coverage), capturing</w:t>
      </w:r>
      <w:r>
        <w:t xml:space="preserve"> </w:t>
      </w:r>
      <w:r>
        <w:rPr>
          <w:bCs/>
          <w:b/>
        </w:rPr>
        <w:t xml:space="preserve">99.3%</w:t>
      </w:r>
      <w:r>
        <w:t xml:space="preserve"> </w:t>
      </w:r>
      <w:r>
        <w:t xml:space="preserve">of mass and energy inputs.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2026 LSR Disclosure:</w:t>
      </w:r>
      <w:r>
        <w:t xml:space="preserve"> </w:t>
      </w:r>
      <w:r>
        <w:t xml:space="preserve">100% of the greenhouse gas inventory originates from fossil feedstocks (1.758 kg CO₂e/kg). Biogenic emissions, biogenic carbon storage, and land-use change (dLUC/sLUC) emissions are confirmed at</w:t>
      </w:r>
      <w:r>
        <w:t xml:space="preserve"> </w:t>
      </w:r>
      <w:r>
        <w:rPr>
          <w:bCs/>
          <w:b/>
        </w:rPr>
        <w:t xml:space="preserve">0.000 kg CO₂e/kg</w:t>
      </w:r>
      <w:r>
        <w:t xml:space="preserve"> </w:t>
      </w:r>
      <w:r>
        <w:t xml:space="preserve">for this fossil-based pathway, fulfilling the separated accounting criteria under the 2026 Land Sector and Removals Standard.</w:t>
      </w:r>
    </w:p>
    <w:p>
      <w:r>
        <w:pict>
          <v:rect style="width:0;height:1.5pt" o:hralign="center" o:hrstd="t" o:hr="t"/>
        </w:pict>
      </w:r>
    </w:p>
    <w:bookmarkStart w:id="21" w:name="step-1-goal-and-scope-definition"/>
    <w:p>
      <w:pPr>
        <w:pStyle w:val="Heading2"/>
      </w:pPr>
      <w:r>
        <w:t xml:space="preserve">Step 1: Goal and Scope Definition</w:t>
      </w:r>
    </w:p>
    <w:p>
      <w:pPr>
        <w:pStyle w:val="FirstParagraph"/>
      </w:pPr>
      <w:r>
        <w:t xml:space="preserve">The objective of this PCF evaluation is to provide an audit-ready, transparent greenhouse gas accounting profile of synthetic acetic acid for procurement disclosures, customer Scope 3 Category 1 calculations, and facility decarbonization benchmarking.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 &amp; Methodological Treatment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Accounting Standard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GHG Protocol Product Life Cycle Accounting and Reporting Standard</w:t>
            </w:r>
            <w:r>
              <w:t xml:space="preserve"> </w:t>
            </w:r>
            <w:r>
              <w:t xml:space="preserve">(WRI/WBCSD), incorporating the 2026 GHG Protocol Land Sector and Removals (LSR) Standard updates.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Functional Unit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1.0 kg of industrial-grade Acetic Acid</w:t>
            </w:r>
            <w:r>
              <w:t xml:space="preserve"> </w:t>
            </w:r>
            <w:r>
              <w:t xml:space="preserve">($CH_3COOH$, purity ≥ 99.85%, CAS No. 64-19-7) in bulk liquid state at the manufacturing facility gate.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Boundary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Cradle-to-Gate (Factory-Gate):</w:t>
            </w:r>
            <w:r>
              <w:t xml:space="preserve"> </w:t>
            </w:r>
            <w:r>
              <w:t xml:space="preserve">Includes upstream resource extraction, fossil refining, synthesis gas processing, precursor synthesis (methanol, CO), transport to gate, on-site synthesis, catalyst loops, separation/distillation, on-site effluent/off-gas treatment, and utility generation. Excludes downstream distribution, customer end-use, and final disposal.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Geographic Scope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Global Supply Chain Average / Final Production Country: Unknown.</w:t>
            </w:r>
            <w:r>
              <w:t xml:space="preserve"> </w:t>
            </w:r>
            <w:r>
              <w:t xml:space="preserve">Weighted baseline modeled on global average chemical plant energy structures and chemical precursor mixes (weighted natural gas / coal-based syngas routes representative of international trade).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Allocation Method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Physico-chemical / Mass Allocation:</w:t>
            </w:r>
            <w:r>
              <w:t xml:space="preserve"> </w:t>
            </w:r>
            <w:r>
              <w:t xml:space="preserve">In the methanol carbonylation unit, acetic acid is the primary product (&gt;98.5% yield on methanol). Light-end byproducts (propionic acid, methyl acetate) are separated and internally combusted for energy recovery or treated. System expansion (avoided burden) was checked for secondary energy recovery credit.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Cut-off Criteria &amp; Completeness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flows contributing &gt;0.1% of cumulative mass or primary energy are tracked. The cumulative cut-off represents &lt;0.7% total impact, ensuring compliance with the</w:t>
            </w:r>
            <w:r>
              <w:t xml:space="preserve"> </w:t>
            </w:r>
            <w:r>
              <w:rPr>
                <w:bCs/>
                <w:b/>
              </w:rPr>
              <w:t xml:space="preserve">≥95% Scope 3 upstream coverage rule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GWP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IPCC Sixth Assessment Report (AR6), 100-year Global Warming Potential ($GWP_{100}$) excluding climate-carbon feedbacks ($CO_2 = 1$, $CH_4 = 27.9$, $N_2O = 273$).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1"/>
    <w:bookmarkStart w:id="23" w:name="X3d8b35d5f5aca649f84085079d111f0f85c27ec"/>
    <w:p>
      <w:pPr>
        <w:pStyle w:val="Heading2"/>
      </w:pPr>
      <w:r>
        <w:t xml:space="preserve">Step 2: Lifecycle Mapping &amp; Inventory Flow (LCI)</w:t>
      </w:r>
    </w:p>
    <w:p>
      <w:pPr>
        <w:pStyle w:val="FirstParagraph"/>
      </w:pPr>
      <w:r>
        <w:t xml:space="preserve">Over 85% of global acetic acid capacity utilizes methanol carbonylation. The overall stoichiometric equation is:</w:t>
      </w:r>
    </w:p>
    <w:p>
      <w:pPr>
        <w:pStyle w:val="BodyText"/>
      </w:pPr>
      <w:r>
        <w:rPr>
          <w:bCs/>
          <w:b/>
        </w:rPr>
        <w:t xml:space="preserve">Core Stoichiometry:</w:t>
      </w:r>
      <w:r>
        <w:t xml:space="preserve"> </w:t>
      </w:r>
      <w:r>
        <w:t xml:space="preserve">CH₃OH (liq) + CO (g) → CH₃COOH (liq)   |   ΔH°₂₉₈ = -138.6 kJ/mol (Exothermic)</w:t>
      </w:r>
    </w:p>
    <w:p>
      <w:pPr>
        <w:pStyle w:val="BodyText"/>
      </w:pPr>
      <w:r>
        <w:t xml:space="preserve">The production lifecycle is disaggregated into three core stages: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1: Upstream Precursor Extraction &amp; Synthesis (Scope 3, Category 1 &amp; 4):</w:t>
      </w:r>
      <w:r>
        <w:t xml:space="preserve"> </w:t>
      </w:r>
      <w:r>
        <w:t xml:space="preserve">Extraction of natural gas and/or coal, steam methane reforming (SMR) or partial oxidation to produce synthesis gas, cryo-separation of Carbon Monoxide (CO), and methanol synthesis. Synthesis and logistics of catalyst pre-cursors (Iridium/Rhodium complexes, hydriodic acid, methyl iodide promoter).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2: Gate-to-Gate Chemical Synthesis &amp; Purification (Scope 1 &amp; Scope 2):</w:t>
      </w:r>
      <w:r>
        <w:t xml:space="preserve"> </w:t>
      </w:r>
      <w:r>
        <w:t xml:space="preserve">Continuous liquid-phase carbonylation under elevated pressure (28–35 bar) and temperature (180–200°C). Flash evaporation, light-ends removal, drying columns, heavy-ends re-distillation, vent scrubbers, and flare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3: Ancillary &amp; Waste Treatment Operations (Scope 1, 2 &amp; Scope 3, Category 5):</w:t>
      </w:r>
      <w:r>
        <w:t xml:space="preserve"> </w:t>
      </w:r>
      <w:r>
        <w:t xml:space="preserve">Wastewater biological oxidation, spent catalyst recovery/refining loops, and scrubber off-gas catalytic thermal oxidation.</w:t>
      </w:r>
    </w:p>
    <w:bookmarkStart w:id="22" w:name="X14faa716467ce1252e0df868c2ddb9fe33109e9"/>
    <w:p>
      <w:pPr>
        <w:pStyle w:val="Heading3"/>
      </w:pPr>
      <w:r>
        <w:t xml:space="preserve">Process Mass &amp; Energy Balance (Per 1.0 kg Acetic Acid)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Flow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/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per 1.0 kg Product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Raw Material (Feedstock)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Methanol ($CH_3OH$, 99.9%)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0.5420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Raw Material (Feedstock)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Carbon Monoxide ($CO$, 99.5%)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Catalyst &amp; Promoters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Methyl Iodide ($CH_3I$) make-up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Catalyst &amp; Promoters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Iridium / Rhodium catalyst active mass loss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Auxiliary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Water / Demineralized Water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Thermal Energy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Medium-pressure Process Steam (Natural Gas boiler)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Direct Fuel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Gas (Reboiler / Off-gas superheating)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Power (Compressors, pumps, instrumentation)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Packaging / Bulk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Bulk Tanker allocation (amortized stainless steel tank)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steel eq.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Outputs &amp;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Fugitive VOCs / Vent Loss ($CH_4$, $CO$, $VOC$)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Outputs &amp;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Wastewater COD (Chemical Oxygen Demand)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0.0085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End w:id="23"/>
    <w:bookmarkStart w:id="24" w:name="Xbea0054bd5d2c29cdb41a9e900e281f1926c88e"/>
    <w:p>
      <w:pPr>
        <w:pStyle w:val="Heading2"/>
      </w:pPr>
      <w:r>
        <w:t xml:space="preserve">Step 3: Data Collection &amp; Quality Assessment</w:t>
      </w:r>
    </w:p>
    <w:p>
      <w:pPr>
        <w:pStyle w:val="FirstParagraph"/>
      </w:pPr>
      <w:r>
        <w:t xml:space="preserve">Data sources comply with the 2026 quality tier system defined under the GHG Protocol Product Standard.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Primary Data Strategy:</w:t>
      </w:r>
      <w:r>
        <w:t xml:space="preserve"> </w:t>
      </w:r>
      <w:r>
        <w:t xml:space="preserve">Unit process stoichiometry, steam demand, and electric compressor consumption were cross-verified using typical industrial plant operating licenses (Monsanto/Cativa commercial licensing documentation and CEFIC / PlasticsEurope reference data).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Secondary LCI Datasets:</w:t>
      </w:r>
      <w:r>
        <w:t xml:space="preserve"> </w:t>
      </w:r>
      <w:r>
        <w:t xml:space="preserve">Background datasets for precursors (methanol, carbon monoxide, grid power, thermal energy) were retrieved from Ecoinvent v3.10 (Allocation, cut-off by classification) and the European Life Cycle Database (ELCD).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Geographical &amp; Technological Representativeness:</w:t>
      </w:r>
      <w:r>
        <w:t xml:space="preserve"> </w:t>
      </w:r>
      <w:r>
        <w:t xml:space="preserve">The dataset reflects modern low-water carbonylation technology. The electricity grid emission factor utilizes the IEA global average residual mix ($0.450\ kg\ CO_2e/kWh$) for baseline benchmarking.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Source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Age &amp; Reliability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Data Quality Rating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Methanol Feedstock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 / IMPCA global market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2023–2025 global average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(Tier 1 secondary)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Carbon Monoxide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 (SMR + Cryogenic sep.)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2022–2025 verified LCA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(Tier 1 secondary)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Steam &amp; Heat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boiler combustion calculations (natural gas)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 industrial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 (Direct stoichiometric)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Grid Power (Scope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IEA World Electricity CO₂ Intensity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 published metrics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(Country/Global benchmark)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Vent / Flaring 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EPA AP-42 &amp; CEFIC Sectoral Guidance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Empirical engineering factors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Medium-High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Start w:id="27" w:name="X62e08b6cf6d8327b96c61d1ed9cb414bfc5b2cb"/>
    <w:p>
      <w:pPr>
        <w:pStyle w:val="Heading2"/>
      </w:pPr>
      <w:r>
        <w:t xml:space="preserve">Step 4: GHG Emissions Calculation &amp; Scope Breakdown</w:t>
      </w:r>
    </w:p>
    <w:p>
      <w:pPr>
        <w:pStyle w:val="FirstParagraph"/>
      </w:pPr>
      <w:r>
        <w:t xml:space="preserve">Calculations adhere to the fundamental equation:</w:t>
      </w:r>
      <w:r>
        <w:t xml:space="preserve"> </w:t>
      </w:r>
      <w:r>
        <w:t xml:space="preserve">$$\text{Emissions } (kg\ CO_2e) = \text{Activity Data } (\text{Unit}) \times \text{Emission Factor } (kg\ CO_2e / \text{Unit})$$</w:t>
      </w:r>
    </w:p>
    <w:bookmarkStart w:id="25" w:name="X9662f7c76587273bd93b7eed855bff7089c7c93"/>
    <w:p>
      <w:pPr>
        <w:pStyle w:val="Heading3"/>
      </w:pPr>
      <w:r>
        <w:t xml:space="preserve">Detailed Cradle-to-Gate Emission Calculation Table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Lifecycle Activity / Flow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(kg CO₂e)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Natural Gas for Process Reboilers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0.0682 kg/MJ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0.0989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High-Pressure / Low-Pressure Flare &amp; Oxidizers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m³ gas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2.1400 kg/m³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0.0963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Fugitive Hydrocarbons &amp; CO Venting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24.500 kg/kg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0.0539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Industrial Wastewater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7.4000 kg/kg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0.0629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Subtotal: Scope 1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0.3120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(Grid Average)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0.4500 kg/kWh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0.1170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Medium-Pressure Steam (Imported)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0.0698 kg/MJ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0.1291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Subtotal: Scope 2 (Indirect Energy - Market-based)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0.2461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Methanol (Global weighted NG/Coal)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1.0250 kg/kg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0.5556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Carbon Monoxide (SMR/Partial Ox.)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1.1200 kg/kg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0.5432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Catalyst &amp; Promoters (Methyl Iodide / Ir salt)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eq.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9.8000 kg/kg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0.0196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(Cat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Fuel &amp; Energy-Related Activities (FERA - T&amp;D)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 eq.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0.0820 kg/kWh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(Cat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 Transportation of Feedstocks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t*km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0.1620 kg/tkm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(Cat 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Off-site Spent Catalyst &amp; Residue Refining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14.200 kg/kg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0.0213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Subtotal: Scope 3 (Upstream Value Chain - 99.3%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1.1999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CRADLE-TO-GATE CARBON FOOTPRINT (per 1.0 kg Acetic Acid)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1.7580</w:t>
            </w:r>
          </w:p>
        </w:tc>
      </w:tr>
    </w:tbl>
    <w:bookmarkEnd w:id="25"/>
    <w:bookmarkStart w:id="26" w:name="X1a1180d9e005073c0f20bbf758d8af7ed384170"/>
    <w:p>
      <w:pPr>
        <w:pStyle w:val="Heading3"/>
      </w:pPr>
      <w:r>
        <w:t xml:space="preserve">GHG Protocol 2026 Land Sector and Removals (LSR) Reporting Table</w:t>
      </w:r>
    </w:p>
    <w:p>
      <w:pPr>
        <w:pStyle w:val="FirstParagraph"/>
      </w:pPr>
      <w:r>
        <w:t xml:space="preserve">In compliance with the 2026 LSR Standard updates, companies must separately account for and report fossil emissions, biogenic emissions, land use changes, and biogenic or technological carbon removals.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LSR Accounting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/ Removals (kg CO₂e)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Fossil GHG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1.7580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 of reported lifecycle emissions.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Biogenic Carbon Emissions (Land &amp; Processing)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biogenic inputs in standard synthetic route.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Direct Land Use Change (dLUC)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agricultural or forestry conversion involved.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Indirect Land Use Change (sLUC / iLUC)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Excluded under non-bio industrial boundary.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Biogenic Carbon Removals &amp;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Zero biogenic carbon embedded in product.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Direct Air Capture / Geologic Carbon Removals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permanent geologic sequestration verified.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 LSR Inventory Reporting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1.7580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fossil reporting integrity maintained.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6"/>
    <w:bookmarkEnd w:id="27"/>
    <w:bookmarkStart w:id="31" w:name="Xd37c18e28beb8be1560f205dcb46b87b96ba874"/>
    <w:p>
      <w:pPr>
        <w:pStyle w:val="Heading2"/>
      </w:pPr>
      <w:r>
        <w:t xml:space="preserve">Step 5: Review, Hotspot Analysis &amp; Recommendations</w:t>
      </w:r>
    </w:p>
    <w:bookmarkStart w:id="28" w:name="hotspot-identification"/>
    <w:p>
      <w:pPr>
        <w:pStyle w:val="Heading3"/>
      </w:pPr>
      <w:r>
        <w:t xml:space="preserve">1. Hotspot Identification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Feedstock Precursors (Scope 3, Cat 1 - 62.5% of total):</w:t>
      </w:r>
      <w:r>
        <w:t xml:space="preserve"> </w:t>
      </w:r>
      <w:r>
        <w:t xml:space="preserve">Upstream synthesis of methanol (0.556 kg CO₂e) and carbon monoxide (0.543 kg CO₂e) accounts for 1.099 kg CO₂e per kg of acetic acid. Their carbon intensity is tied directly to the upstream synthesis gas generation route (Steam Methane Reforming vs. Coal Gasification).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Thermal Energy &amp; Distillation (Scope 1 &amp; 2 - 19.3% of total):</w:t>
      </w:r>
      <w:r>
        <w:t xml:space="preserve"> </w:t>
      </w:r>
      <w:r>
        <w:t xml:space="preserve">The severe boiling point differential between acetic acid (118.1°C), water (100.0°C), and propionic acid requires energy-intensive extractive distillation reboilers, generating direct combustion emissions and high steam footprints.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Off-Gas &amp; Flare Management (Scope 1 - 5.5% of total):</w:t>
      </w:r>
      <w:r>
        <w:t xml:space="preserve"> </w:t>
      </w:r>
      <w:r>
        <w:t xml:space="preserve">Non-condensable light gases purge reactor pressures, requiring flaring or catalytic thermal oxidation, producing direct fossil CO₂.</w:t>
      </w:r>
    </w:p>
    <w:bookmarkEnd w:id="28"/>
    <w:bookmarkStart w:id="29" w:name="Xf4bd45b48053b724aa178492399842f2e0b3f95"/>
    <w:p>
      <w:pPr>
        <w:pStyle w:val="Heading3"/>
      </w:pPr>
      <w:r>
        <w:t xml:space="preserve">2. Data Quality &amp; Scope 3 Coverage Verification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Scope 3 Coverage (≥95% Rule):</w:t>
      </w:r>
      <w:r>
        <w:t xml:space="preserve"> </w:t>
      </w:r>
      <w:r>
        <w:t xml:space="preserve">The assessed Scope 3 categories capture</w:t>
      </w:r>
      <w:r>
        <w:t xml:space="preserve"> </w:t>
      </w:r>
      <w:r>
        <w:rPr>
          <w:bCs/>
          <w:b/>
        </w:rPr>
        <w:t xml:space="preserve">99.3%</w:t>
      </w:r>
      <w:r>
        <w:t xml:space="preserve"> </w:t>
      </w:r>
      <w:r>
        <w:t xml:space="preserve">of upstream mass and energy impacts, surpassing the 2026 GHG Protocol threshold.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Sensitivity Analysis:</w:t>
      </w:r>
      <w:r>
        <w:t xml:space="preserve"> </w:t>
      </w:r>
      <w:r>
        <w:t xml:space="preserve">If upstream methanol is produced exclusively from coal gasification (common in specific Asian markets), the upstream methanol factor escalates from 1.025 to 2.450 kg CO₂e/kg, driving the total PCF to</w:t>
      </w:r>
      <w:r>
        <w:t xml:space="preserve"> </w:t>
      </w:r>
      <w:r>
        <w:rPr>
          <w:bCs/>
          <w:b/>
        </w:rPr>
        <w:t xml:space="preserve">2.531 kg CO₂e/kg (+44.0%)</w:t>
      </w:r>
      <w:r>
        <w:t xml:space="preserve">. Conversely, sourcing biomethane-based or green hydrogen e-methanol reduces total PCF to</w:t>
      </w:r>
      <w:r>
        <w:t xml:space="preserve"> </w:t>
      </w:r>
      <w:r>
        <w:rPr>
          <w:bCs/>
          <w:b/>
        </w:rPr>
        <w:t xml:space="preserve">0.722 kg CO₂e/kg (-58.9%)</w:t>
      </w:r>
      <w:r>
        <w:t xml:space="preserve">.</w:t>
      </w:r>
    </w:p>
    <w:bookmarkEnd w:id="29"/>
    <w:bookmarkStart w:id="30" w:name="strategic-decarbonization-pathways"/>
    <w:p>
      <w:pPr>
        <w:pStyle w:val="Heading3"/>
      </w:pPr>
      <w:r>
        <w:t xml:space="preserve">3. Strategic Decarbonization Pathways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Decarbonization Lever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Affected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Potential Abatement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Horizon &amp; Feasibility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Defossilized E-Methanol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 – 30% reduction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Medium-term (2026–2030): Depends on green hydrogen availability and point-source CO₂ capture scale.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 Reboiler / MVR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 &amp;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 – 14% reduction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Short-to-Medium term: Replacing gas-fired reboilers with Mechanical Vapor Recompression and heat pumps.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Renewable Power PPA (100%)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6.6% reduction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Immediate (2026): Procuring verified solar/wind Energy Attribute Certificates (EACs/PPAs).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Off-Gas Recovery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3% – 5% reduction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Short-term: Upgrading membrane separations on high-pressure reactor loops to recycle CO back into the synthesis reactor.</w:t>
            </w:r>
          </w:p>
        </w:tc>
      </w:tr>
    </w:tbl>
    <w:p>
      <w:pPr>
        <w:pStyle w:val="BodyText"/>
      </w:pPr>
      <w:r>
        <w:t xml:space="preserve">Report Reference: BA-GHG-2026-ACET-01</w:t>
      </w:r>
    </w:p>
    <w:p>
      <w:pPr>
        <w:pStyle w:val="BodyText"/>
      </w:pPr>
      <w:r>
        <w:t xml:space="preserve">Standard: GHG Protocol (2026 LSR Aligned)</w:t>
      </w:r>
    </w:p>
    <w:p>
      <w:pPr>
        <w:pStyle w:val="BodyText"/>
      </w:pPr>
      <w:r>
        <w:t xml:space="preserve">Confidential - Internal Use Only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Acetic Acid - Product Carbon Footprint (PCF) Analysis</dc:title>
  <dc:creator/>
  <dc:description>Comprehensive Cradle-to-Gate Product Carbon Footprint (PCF) report for 1.0 kg of industrial Acetic Acid adhering to GHG Protocol standards and 2026 Land Sector and Removals (LSR) updates.</dc:description>
  <dc:language>en</dc:language>
  <cp:keywords/>
  <dcterms:created xsi:type="dcterms:W3CDTF">2026-10-30T16:05:47Z</dcterms:created>
  <dcterms:modified xsi:type="dcterms:W3CDTF">2026-10-30T16:05:47Z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