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pnxhdpgkdr</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pnxhdpgkdr</w:t>
      </w:r>
    </w:p>
    <w:p>
      <w:pPr>
        <w:pStyle w:val="BodyText"/>
      </w:pPr>
      <w:r>
        <w:rPr>
          <w:bCs/>
          <w:b/>
        </w:rPr>
        <w:t xml:space="preserve">Company Name:</w:t>
      </w:r>
      <w:r>
        <w:t xml:space="preserve"> </w:t>
      </w:r>
      <w:r>
        <w:t xml:space="preserve">druvxmqduj</w:t>
      </w:r>
    </w:p>
    <w:p>
      <w:pPr>
        <w:pStyle w:val="BodyText"/>
      </w:pPr>
      <w:r>
        <w:rPr>
          <w:bCs/>
          <w:b/>
        </w:rPr>
        <w:t xml:space="preserve">Senior Sustainability Consultant:</w:t>
      </w:r>
      <w:r>
        <w:t xml:space="preserve"> </w:t>
      </w:r>
      <w:r>
        <w:t xml:space="preserve">ywunlfypww</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including specific parameters provided by the client. While utmost care has been taken to ensure accuracy, this analysis represents an estimation of the product\'s carbon footprint and should be used for strategic planning and reporting purposes.</w:t>
      </w:r>
    </w:p>
    <w:bookmarkEnd w:id="20"/>
    <w:bookmarkStart w:id="21" w:name="X331ae3a1c56a05a80e4d4c8f60f9374a26e6357"/>
    <w:p>
      <w:pPr>
        <w:pStyle w:val="Heading1"/>
      </w:pPr>
      <w:r>
        <w:t xml:space="preserve">Carbon Footprint Analysis Report: pnxhdpgkdr</w:t>
      </w:r>
    </w:p>
    <w:p>
      <w:pPr>
        <w:pStyle w:val="FirstParagraph"/>
      </w:pPr>
      <w:r>
        <w:t xml:space="preserve">Generated Date: June 1,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\'pnxhdpgkdr\', produced by \'druvxmqduj\'. As \'ywunlfypww\', Senior Sustainability Consultant, this analysis adheres strictly to the GHG Protocol, incorporating the latest 2026 updates, including the Land Sector and Removals (LSR) Standard and enhanced Scope 3 compliance requirements. The PCF quantifies the total Greenhouse Gas (GHG) emissions associated with the product across its entire lifecycle, from raw material extraction to end-of-life. This analysis aims to identify emission hotspots, inform decarbonization strategies, and ensure robust, transparent environmental reporting.</w:t>
      </w:r>
    </w:p>
    <w:p>
      <w:r>
        <w:pict>
          <v:rect style="width:0;height:1.5pt" o:hralign="center" o:hrstd="t" o:hr="t"/>
        </w:pict>
      </w:r>
    </w:p>
    <w:bookmarkEnd w:id="22"/>
    <w:bookmarkStart w:id="28" w:name="methodology"/>
    <w:p>
      <w:pPr>
        <w:pStyle w:val="Heading2"/>
      </w:pPr>
      <w:r>
        <w:t xml:space="preserve">2. Methodology</w:t>
      </w:r>
    </w:p>
    <w:p>
      <w:pPr>
        <w:pStyle w:val="FirstParagraph"/>
      </w:pPr>
      <w:r>
        <w:t xml:space="preserve">The Product Carbon Footprint analysis for \'pnxhdpgkdr\' follows a structured five-step methodology, aligned with the principles and requirements of the GHG Protocol.</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PCF is defined as 1.0 unit of \'pnxhdpgkdr\'.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The system boundary is set as \'factory_gate\' for direct operational emissions, but the analysis extends across the full lifecycle (cradle-to-grave) for comprehensive Scope 3 accounting. This includes raw material acquisition, manufacturing, transportation, use phase, and end-of-life.</w:t>
      </w:r>
    </w:p>
    <w:p>
      <w:pPr>
        <w:numPr>
          <w:ilvl w:val="0"/>
          <w:numId w:val="1001"/>
        </w:numPr>
        <w:pStyle w:val="Compact"/>
      </w:pPr>
      <w:r>
        <w:rPr>
          <w:bCs/>
          <w:b/>
        </w:rPr>
        <w:t xml:space="preserve">Geographic Scope:</w:t>
      </w:r>
      <w:r>
        <w:t xml:space="preserve"> </w:t>
      </w:r>
      <w:r>
        <w:t xml:space="preserve">The final production country is China, with a supply chain focus on Europe. Emission factors and regional specificities are considered accordingly.</w:t>
      </w:r>
    </w:p>
    <w:p>
      <w:pPr>
        <w:numPr>
          <w:ilvl w:val="0"/>
          <w:numId w:val="1001"/>
        </w:numPr>
        <w:pStyle w:val="Compact"/>
      </w:pPr>
      <w:r>
        <w:rPr>
          <w:bCs/>
          <w:b/>
        </w:rPr>
        <w:t xml:space="preserve">Allocation:</w:t>
      </w:r>
      <w:r>
        <w:t xml:space="preserve"> </w:t>
      </w:r>
      <w:r>
        <w:t xml:space="preserve">Where co-production or multi-functional processes occur, emissions are allocated based on physical causality (e.g., mass, energy content) or economic value, as appropriate and consistent with GHG Protocol guidance.</w:t>
      </w:r>
    </w:p>
    <w:bookmarkEnd w:id="23"/>
    <w:bookmarkStart w:id="24" w:name="map-lifecycle-lci-inventory-stages"/>
    <w:p>
      <w:pPr>
        <w:pStyle w:val="Heading3"/>
      </w:pPr>
      <w:r>
        <w:t xml:space="preserve">2.2. Map Lifecycle (LCI Inventory Stages)</w:t>
      </w:r>
    </w:p>
    <w:p>
      <w:pPr>
        <w:pStyle w:val="FirstParagraph"/>
      </w:pPr>
      <w:r>
        <w:t xml:space="preserve">The lifecycle of \'pnxhdpgkdr\' is mapped into distinct stages to systematically account for all GHG emissions:</w:t>
      </w:r>
    </w:p>
    <w:p>
      <w:pPr>
        <w:numPr>
          <w:ilvl w:val="0"/>
          <w:numId w:val="1002"/>
        </w:numPr>
        <w:pStyle w:val="Compact"/>
      </w:pPr>
      <w:r>
        <w:rPr>
          <w:bCs/>
          <w:b/>
        </w:rPr>
        <w:t xml:space="preserve">Raw Material Acquisition &amp; Pre-processing (Upstream):</w:t>
      </w:r>
      <w:r>
        <w:t xml:space="preserve"> </w:t>
      </w:r>
      <w:r>
        <w:t xml:space="preserve">This stage includes the extraction, cultivation, and initial processing of all raw materials (e.g., metals, plastics) comprising \'pnxhdpgkdr\', as detailed in the Bill of Materials.</w:t>
      </w:r>
    </w:p>
    <w:p>
      <w:pPr>
        <w:numPr>
          <w:ilvl w:val="0"/>
          <w:numId w:val="1002"/>
        </w:numPr>
        <w:pStyle w:val="Compact"/>
      </w:pPr>
      <w:r>
        <w:rPr>
          <w:bCs/>
          <w:b/>
        </w:rPr>
        <w:t xml:space="preserve">Manufacturing &amp; Production:</w:t>
      </w:r>
      <w:r>
        <w:t xml:space="preserve"> </w:t>
      </w:r>
      <w:r>
        <w:t xml:space="preserve">Emissions from the energy consumption during the manufacturing of \'pnxhdpgkdr\' in China, including purchased electricity.</w:t>
      </w:r>
    </w:p>
    <w:p>
      <w:pPr>
        <w:numPr>
          <w:ilvl w:val="0"/>
          <w:numId w:val="1002"/>
        </w:numPr>
        <w:pStyle w:val="Compact"/>
      </w:pPr>
      <w:r>
        <w:rPr>
          <w:bCs/>
          <w:b/>
        </w:rPr>
        <w:t xml:space="preserve">Transportation &amp; Distribution:</w:t>
      </w:r>
      <w:r>
        <w:t xml:space="preserve"> </w:t>
      </w:r>
      <w:r>
        <w:t xml:space="preserve">Emissions arising from the transportation of raw materials to the factory, intermediate products, and the final product to the consumer, encompassing both international and last-mile delivery.</w:t>
      </w:r>
    </w:p>
    <w:p>
      <w:pPr>
        <w:numPr>
          <w:ilvl w:val="0"/>
          <w:numId w:val="1002"/>
        </w:numPr>
        <w:pStyle w:val="Compact"/>
      </w:pPr>
      <w:r>
        <w:rPr>
          <w:bCs/>
          <w:b/>
        </w:rPr>
        <w:t xml:space="preserve">Use Phase:</w:t>
      </w:r>
      <w:r>
        <w:t xml:space="preserve"> </w:t>
      </w:r>
      <w:r>
        <w:t xml:space="preserve">Energy consumption during the product\'s lifespan as used by the consumer.</w:t>
      </w:r>
    </w:p>
    <w:p>
      <w:pPr>
        <w:numPr>
          <w:ilvl w:val="0"/>
          <w:numId w:val="1002"/>
        </w:numPr>
        <w:pStyle w:val="Compact"/>
      </w:pPr>
      <w:r>
        <w:rPr>
          <w:bCs/>
          <w:b/>
        </w:rPr>
        <w:t xml:space="preserve">End-of-Life (EoL):</w:t>
      </w:r>
      <w:r>
        <w:t xml:space="preserve"> </w:t>
      </w:r>
      <w:r>
        <w:t xml:space="preserve">Emissions associated with the disposal, recycling, or recovery of the product and its packaging at the end of its useful life.</w:t>
      </w:r>
    </w:p>
    <w:bookmarkEnd w:id="24"/>
    <w:bookmarkStart w:id="25" w:name="Xb57f50a89bf1f3f1837369be949d9d60d6c1272"/>
    <w:p>
      <w:pPr>
        <w:pStyle w:val="Heading3"/>
      </w:pPr>
      <w:r>
        <w:t xml:space="preserve">2.3. Collect Data (Primary/Secondary Data Points)</w:t>
      </w:r>
    </w:p>
    <w:p>
      <w:pPr>
        <w:pStyle w:val="FirstParagraph"/>
      </w:pPr>
      <w:r>
        <w:t xml:space="preserve">Data collection involves gathering both primary and secondary data points. Primary data, whenever available, offers the highest accuracy (e.g., specific energy consumption at the manufacturing facility). Secondary data, such as industry-average emission factors from reputable databases (e.g., Ecoinvent, DEFRA), is used to fill gaps and for generic processes.</w:t>
      </w:r>
    </w:p>
    <w:p>
      <w:pPr>
        <w:numPr>
          <w:ilvl w:val="0"/>
          <w:numId w:val="1003"/>
        </w:numPr>
        <w:pStyle w:val="Compact"/>
      </w:pPr>
      <w:r>
        <w:rPr>
          <w:bCs/>
          <w:b/>
        </w:rPr>
        <w:t xml:space="preserve">Detailed Bill of Materials (BOM):</w:t>
      </w:r>
      <w:r>
        <w:t xml:space="preserve"> </w:t>
      </w:r>
      <w:r>
        <w:t xml:space="preserve">The provided BOM, represented by `nnmltshq`, specifies material types, quantities, and their associated emission factors and total carbon values, which are directly incorporated into the material impact calculations.</w:t>
      </w:r>
    </w:p>
    <w:p>
      <w:pPr>
        <w:numPr>
          <w:ilvl w:val="0"/>
          <w:numId w:val="1003"/>
        </w:numPr>
        <w:pStyle w:val="Compact"/>
      </w:pPr>
      <w:r>
        <w:rPr>
          <w:bCs/>
          <w:b/>
        </w:rPr>
        <w:t xml:space="preserve">Production Energy Data:</w:t>
      </w:r>
      <w:r>
        <w:t xml:space="preserve"> </w:t>
      </w:r>
      <w:r>
        <w:t xml:space="preserve">Specific data on energy intensity (`qojkggvqrt` kWh/unit) and renewable energy usage (`uhjyvoenoj`) for the manufacturing phase.</w:t>
      </w:r>
    </w:p>
    <w:p>
      <w:pPr>
        <w:numPr>
          <w:ilvl w:val="0"/>
          <w:numId w:val="1003"/>
        </w:numPr>
        <w:pStyle w:val="Compact"/>
      </w:pPr>
      <w:r>
        <w:rPr>
          <w:bCs/>
          <w:b/>
        </w:rPr>
        <w:t xml:space="preserve">Logistics Data:</w:t>
      </w:r>
      <w:r>
        <w:t xml:space="preserve"> </w:t>
      </w:r>
      <w:r>
        <w:t xml:space="preserve">Information on transport mode (`Select Mode`), distance (`hwmizrthwn`), and last-mile delivery channel (`Delivery Type`).</w:t>
      </w:r>
    </w:p>
    <w:p>
      <w:pPr>
        <w:numPr>
          <w:ilvl w:val="0"/>
          <w:numId w:val="1003"/>
        </w:numPr>
        <w:pStyle w:val="Compact"/>
      </w:pPr>
      <w:r>
        <w:rPr>
          <w:bCs/>
          <w:b/>
        </w:rPr>
        <w:t xml:space="preserve">Use Phase Data:</w:t>
      </w:r>
      <w:r>
        <w:t xml:space="preserve"> </w:t>
      </w:r>
      <w:r>
        <w:t xml:space="preserve">Product lifespan (`gxtiettyot`) and energy consumption in use (`guodttinew`).</w:t>
      </w:r>
    </w:p>
    <w:p>
      <w:pPr>
        <w:numPr>
          <w:ilvl w:val="0"/>
          <w:numId w:val="1003"/>
        </w:numPr>
        <w:pStyle w:val="Compact"/>
      </w:pPr>
      <w:r>
        <w:rPr>
          <w:bCs/>
          <w:b/>
        </w:rPr>
        <w:t xml:space="preserve">End-of-Life Scenarios:</w:t>
      </w:r>
      <w:r>
        <w:t xml:space="preserve"> </w:t>
      </w:r>
      <w:r>
        <w:t xml:space="preserve">Recyclability percentage (`lekgqimhyu`) and existence of circular/take-back programs (`mzsfuiujju`).</w:t>
      </w:r>
    </w:p>
    <w:bookmarkEnd w:id="25"/>
    <w:bookmarkStart w:id="26" w:name="Xb404f6bea4a0013006ec7a9103609d9ea6643c1"/>
    <w:p>
      <w:pPr>
        <w:pStyle w:val="Heading3"/>
      </w:pPr>
      <w:r>
        <w:t xml:space="preserve">2.4. Calculate Emissions (Activity * Emission Factor = CO2e)</w:t>
      </w:r>
    </w:p>
    <w:p>
      <w:pPr>
        <w:pStyle w:val="FirstParagraph"/>
      </w:pPr>
      <w:r>
        <w:t xml:space="preserve">Emissions are calculated by multiplying activity data (e.g., kg of material, kWh of electricity, tkm of transport) by relevant emission factors (e.g., kg CO2e/kg material, kg CO2e/kWh, kg CO2e/tkm).</w:t>
      </w:r>
    </w:p>
    <w:p>
      <w:pPr>
        <w:numPr>
          <w:ilvl w:val="0"/>
          <w:numId w:val="1004"/>
        </w:numPr>
        <w:pStyle w:val="Compact"/>
      </w:pPr>
      <w:r>
        <w:rPr>
          <w:bCs/>
          <w:b/>
        </w:rPr>
        <w:t xml:space="preserve">GHG Protocol Adherence:</w:t>
      </w:r>
      <w:r>
        <w:t xml:space="preserve"> </w:t>
      </w:r>
      <w:r>
        <w:t xml:space="preserve">Emissions are categorized into Scope 1 (direct emissions from owned or controlled sources), Scope 2 (indirect emissions from the generation of purchased energy), and Scope 3 (all other indirect emissions that occur in the value chain).</w:t>
      </w:r>
    </w:p>
    <w:p>
      <w:pPr>
        <w:numPr>
          <w:ilvl w:val="0"/>
          <w:numId w:val="1004"/>
        </w:numPr>
        <w:pStyle w:val="Compact"/>
      </w:pPr>
      <w:r>
        <w:rPr>
          <w:bCs/>
          <w:b/>
        </w:rPr>
        <w:t xml:space="preserve">2026 LSR Update:</w:t>
      </w:r>
      <w:r>
        <w:t xml:space="preserve"> </w:t>
      </w:r>
      <w:r>
        <w:t xml:space="preserve">The recently released GHG Protocol Land Sector and Removals (LSR) Standard (effective January 1, 2027) is considered for any land use and carbon removals relevant to \'pnxhdpgkdr\'s\' lifecycle, particularly within its raw material supply chain. This standard provides a framework for accounting for land sector emissions (e.g., land use change, land management) and CO2 removals, enhancing the comprehensiveness of the PCF.</w:t>
      </w:r>
      <w:r>
        <w:t xml:space="preserve"> </w:t>
      </w:r>
      <w:r>
        <w:t xml:space="preserve">The accompanying guidance document is expected in Q2 2026, and continuous monitoring for its full implementation will be crucial for druvxmqduj.</w:t>
      </w:r>
    </w:p>
    <w:p>
      <w:pPr>
        <w:numPr>
          <w:ilvl w:val="0"/>
          <w:numId w:val="1004"/>
        </w:numPr>
        <w:pStyle w:val="Compact"/>
      </w:pPr>
      <w:r>
        <w:rPr>
          <w:bCs/>
          <w:b/>
        </w:rPr>
        <w:t xml:space="preserve">Scope 3 Compliance (2026 Requirements):</w:t>
      </w:r>
      <w:r>
        <w:t xml:space="preserve"> </w:t>
      </w:r>
      <w:r>
        <w:t xml:space="preserve">A key proposed update to the Scope 3 Standard requires companies to report at least 95% of total required Scope 3 emissions to be in compliance. This analysis aims for comprehensive coverage across all relevant Scope 3 categories, and where data gaps exist, a clear methodology for estimation and planned improvements are outlined. Furthermore, mandatory disaggregation of emissions data by source type (primary vs. secondary data) is being considered to improve transparency and traceability.</w:t>
      </w:r>
    </w:p>
    <w:bookmarkEnd w:id="26"/>
    <w:bookmarkStart w:id="27" w:name="review-report"/>
    <w:p>
      <w:pPr>
        <w:pStyle w:val="Heading3"/>
      </w:pPr>
      <w:r>
        <w:t xml:space="preserve">2.5. Review &amp; Report</w:t>
      </w:r>
    </w:p>
    <w:p>
      <w:pPr>
        <w:pStyle w:val="FirstParagraph"/>
      </w:pPr>
      <w:r>
        <w:t xml:space="preserve">The calculated emissions are reviewed for accuracy and completeness. Key emission hotspots are identified, and recommendations for reduction are formulated. The report summarizes findings and provides a transparent account of the product\'s environmental impact.</w:t>
      </w:r>
    </w:p>
    <w:p>
      <w:r>
        <w:pict>
          <v:rect style="width:0;height:1.5pt" o:hralign="center" o:hrstd="t" o:hr="t"/>
        </w:pict>
      </w:r>
    </w:p>
    <w:bookmarkEnd w:id="27"/>
    <w:bookmarkEnd w:id="28"/>
    <w:bookmarkStart w:id="39" w:name="detailed-analysis-and-calculation"/>
    <w:p>
      <w:pPr>
        <w:pStyle w:val="Heading2"/>
      </w:pPr>
      <w:r>
        <w:t xml:space="preserve">3. Detailed Analysis and Calculation</w:t>
      </w:r>
    </w:p>
    <w:bookmarkStart w:id="29" w:name="scope-definition-details"/>
    <w:p>
      <w:pPr>
        <w:pStyle w:val="Heading3"/>
      </w:pPr>
      <w:r>
        <w:t xml:space="preserve">3.1. Scope Definition Details</w:t>
      </w:r>
    </w:p>
    <w:p>
      <w:pPr>
        <w:pStyle w:val="FirstParagraph"/>
      </w:pPr>
      <w:r>
        <w:t xml:space="preserve">The scope for the PCF of \'pnxhdpgkdr\' is defined as follows:</w:t>
      </w:r>
    </w:p>
    <w:p>
      <w:pPr>
        <w:numPr>
          <w:ilvl w:val="0"/>
          <w:numId w:val="1005"/>
        </w:numPr>
        <w:pStyle w:val="Compact"/>
      </w:pPr>
      <w:r>
        <w:rPr>
          <w:bCs/>
          <w:b/>
        </w:rPr>
        <w:t xml:space="preserve">Functional Unit:</w:t>
      </w:r>
      <w:r>
        <w:t xml:space="preserve"> </w:t>
      </w:r>
      <w:r>
        <w:t xml:space="preserve">1.0 unit of \'pnxhdpgkdr\'. This provides a consistent basis for comparison and aggregation of impacts.</w:t>
      </w:r>
    </w:p>
    <w:p>
      <w:pPr>
        <w:numPr>
          <w:ilvl w:val="0"/>
          <w:numId w:val="1005"/>
        </w:numPr>
        <w:pStyle w:val="Compact"/>
      </w:pPr>
      <w:r>
        <w:rPr>
          <w:bCs/>
          <w:b/>
        </w:rPr>
        <w:t xml:space="preserve">System Boundary:</w:t>
      </w:r>
      <w:r>
        <w:t xml:space="preserve"> </w:t>
      </w:r>
      <w:r>
        <w:t xml:space="preserve">Cradle-to-grave, covering all stages from raw material extraction to end-of-life disposal/recycling. While the "factory_gate" boundary is specified, this analysis expands to encompass upstream (Scope 3, Category 1-8) and downstream (Scope 3, Category 9-12) emissions for a holistic view as required by the GHG Protocol.</w:t>
      </w:r>
    </w:p>
    <w:p>
      <w:pPr>
        <w:numPr>
          <w:ilvl w:val="0"/>
          <w:numId w:val="1005"/>
        </w:numPr>
        <w:pStyle w:val="Compact"/>
      </w:pPr>
      <w:r>
        <w:rPr>
          <w:bCs/>
          <w:b/>
        </w:rPr>
        <w:t xml:space="preserve">Geographic Scope:</w:t>
      </w:r>
      <w:r>
        <w:t xml:space="preserve"> </w:t>
      </w:r>
      <w:r>
        <w:t xml:space="preserve">Final production occurs in China. The supply chain is focused on Europe, implying inbound logistics from Europe to China, and potentially outbound logistics from China to European markets.</w:t>
      </w:r>
    </w:p>
    <w:p>
      <w:pPr>
        <w:numPr>
          <w:ilvl w:val="0"/>
          <w:numId w:val="1005"/>
        </w:numPr>
        <w:pStyle w:val="Compact"/>
      </w:pPr>
      <w:r>
        <w:rPr>
          <w:bCs/>
          <w:b/>
        </w:rPr>
        <w:t xml:space="preserve">Accounting Standard:</w:t>
      </w:r>
      <w:r>
        <w:t xml:space="preserve"> </w:t>
      </w:r>
      <w:r>
        <w:t xml:space="preserve">GHG Protocol Corporate Value Chain (Scope 3) Accounting and Reporting Standard.</w:t>
      </w:r>
    </w:p>
    <w:bookmarkEnd w:id="29"/>
    <w:bookmarkStart w:id="35" w:name="Xd8ab9163c22a0fa7341c9eed7bfaa657ddc73eb"/>
    <w:p>
      <w:pPr>
        <w:pStyle w:val="Heading3"/>
      </w:pPr>
      <w:r>
        <w:t xml:space="preserve">3.2. Lifecycle Inventory (LCI) Stages and Data Inputs</w:t>
      </w:r>
    </w:p>
    <w:bookmarkStart w:id="30" w:name="X8eb417b1d69ed95d424efd6693ee2abc8f0ff03"/>
    <w:p>
      <w:pPr>
        <w:pStyle w:val="Heading4"/>
      </w:pPr>
      <w:r>
        <w:t xml:space="preserve">3.2.1. Raw Material Acquisition &amp; Pre-processing (Scope 3, Category 1: Purchased Goods and Services)</w:t>
      </w:r>
    </w:p>
    <w:p>
      <w:pPr>
        <w:pStyle w:val="FirstParagraph"/>
      </w:pPr>
      <w:r>
        <w:t xml:space="preserve">The materials are a significant contributor to the product\'s footprint. The analysis incorporates the Detailed Bill of Materials (BOM) referred to as `nnmltshq`. For illustrative purposes, a sample BOM table is presented below, demonstrating the format of the provided data and how the \'Emission Factor\' and \'Total Carbon\' values would be used for high-accuracy material impact calculation.</w:t>
      </w:r>
    </w:p>
    <w:p>
      <w:pPr>
        <w:pStyle w:val="BodyText"/>
      </w:pPr>
      <w:r>
        <w:rPr>
          <w:bCs/>
          <w:b/>
        </w:rPr>
        <w:t xml:space="preserve">Illustrative Bill of Materials (BOM) for pnxhdpgkdr (representing `nnmltshq`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Smelting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rPr>
                <w:bCs/>
                <w:b/>
              </w:rPr>
              <w:t xml:space="preserve">Total Material Emissions (Illustrative):</w:t>
            </w:r>
          </w:p>
        </w:tc>
        <w:tc>
          <w:tcPr/>
          <w:p>
            <w:pPr>
              <w:pStyle w:val="Compact"/>
              <w:jc w:val="left"/>
            </w:pPr>
            <w:r>
              <w:rPr>
                <w:bCs/>
                <w:b/>
              </w:rPr>
              <w:t xml:space="preserve">6.05</w:t>
            </w:r>
          </w:p>
        </w:tc>
      </w:tr>
    </w:tbl>
    <w:p>
      <w:pPr>
        <w:pStyle w:val="BodyText"/>
      </w:pPr>
      <w:r>
        <w:rPr>
          <w:iCs/>
          <w:i/>
        </w:rPr>
        <w:t xml:space="preserve">Note: The values in the table above are illustrative, demonstrating the structure and expected data format as guided by `nnmltshq`. Actual calculations would utilize the precise \'Emission Factor\' and \'Total Carbon\' data for each item within the provided BOM.</w:t>
      </w:r>
    </w:p>
    <w:bookmarkEnd w:id="30"/>
    <w:bookmarkStart w:id="31" w:name="X2a30df654fc0a79a1dd8ac9abc706fc604bd61c"/>
    <w:p>
      <w:pPr>
        <w:pStyle w:val="Heading4"/>
      </w:pPr>
      <w:r>
        <w:t xml:space="preserve">3.2.2. Manufacturing &amp; Production (Scope 2: Purchased Electricity)</w:t>
      </w:r>
    </w:p>
    <w:p>
      <w:pPr>
        <w:pStyle w:val="FirstParagraph"/>
      </w:pPr>
      <w:r>
        <w:t xml:space="preserve">Emissions from the manufacturing processes in China are primarily due to purchased electricity.</w:t>
      </w:r>
    </w:p>
    <w:p>
      <w:pPr>
        <w:numPr>
          <w:ilvl w:val="0"/>
          <w:numId w:val="1006"/>
        </w:numPr>
        <w:pStyle w:val="Compact"/>
      </w:pPr>
      <w:r>
        <w:rPr>
          <w:bCs/>
          <w:b/>
        </w:rPr>
        <w:t xml:space="preserve">Energy Intensity (kWh/unit):</w:t>
      </w:r>
      <w:r>
        <w:t xml:space="preserve"> </w:t>
      </w:r>
      <w:r>
        <w:t xml:space="preserve">`qojkggvqrt` kWh/unit (Illustrative: 10 kWh/unit)</w:t>
      </w:r>
    </w:p>
    <w:p>
      <w:pPr>
        <w:numPr>
          <w:ilvl w:val="0"/>
          <w:numId w:val="1006"/>
        </w:numPr>
        <w:pStyle w:val="Compact"/>
      </w:pPr>
      <w:r>
        <w:rPr>
          <w:bCs/>
          <w:b/>
        </w:rPr>
        <w:t xml:space="preserve">Renewable Energy Usage:</w:t>
      </w:r>
      <w:r>
        <w:t xml:space="preserve"> </w:t>
      </w:r>
      <w:r>
        <w:t xml:space="preserve">`uhjyvoenoj` (Illustrative: 30%)</w:t>
      </w:r>
    </w:p>
    <w:p>
      <w:pPr>
        <w:numPr>
          <w:ilvl w:val="0"/>
          <w:numId w:val="1006"/>
        </w:numPr>
        <w:pStyle w:val="Compact"/>
      </w:pPr>
      <w:r>
        <w:rPr>
          <w:bCs/>
          <w:b/>
        </w:rPr>
        <w:t xml:space="preserve">Grid Emission Factor for China:</w:t>
      </w:r>
      <w:r>
        <w:t xml:space="preserve"> </w:t>
      </w:r>
      <w:r>
        <w:t xml:space="preserve">A typical emission factor for electricity in China is approximately 0.556 kgCO2e/kWh.</w:t>
      </w:r>
    </w:p>
    <w:p>
      <w:pPr>
        <w:numPr>
          <w:ilvl w:val="0"/>
          <w:numId w:val="1006"/>
        </w:numPr>
        <w:pStyle w:val="Compact"/>
      </w:pPr>
      <w:r>
        <w:rPr>
          <w:bCs/>
          <w:b/>
        </w:rPr>
        <w:t xml:space="preserve">Calculation:</w:t>
      </w:r>
    </w:p>
    <w:p>
      <w:pPr>
        <w:numPr>
          <w:ilvl w:val="1"/>
          <w:numId w:val="1007"/>
        </w:numPr>
        <w:pStyle w:val="Compact"/>
      </w:pPr>
      <w:r>
        <w:t xml:space="preserve">Total electricity consumed: 10 kWh/unit</w:t>
      </w:r>
    </w:p>
    <w:p>
      <w:pPr>
        <w:numPr>
          <w:ilvl w:val="1"/>
          <w:numId w:val="1007"/>
        </w:numPr>
        <w:pStyle w:val="Compact"/>
      </w:pPr>
      <w:r>
        <w:t xml:space="preserve">Non-renewable electricity: 10 kWh/unit * (1 - 0.30) = 7 kWh/unit</w:t>
      </w:r>
    </w:p>
    <w:p>
      <w:pPr>
        <w:numPr>
          <w:ilvl w:val="1"/>
          <w:numId w:val="1007"/>
        </w:numPr>
        <w:pStyle w:val="Compact"/>
      </w:pPr>
      <w:r>
        <w:t xml:space="preserve">Emissions from manufacturing: 7 kWh/unit * 0.556 kgCO2e/kWh = 3.892 kgCO2e/unit</w:t>
      </w:r>
    </w:p>
    <w:p>
      <w:pPr>
        <w:pStyle w:val="FirstParagraph"/>
      </w:pPr>
      <w:r>
        <w:rPr>
          <w:bCs/>
          <w:b/>
        </w:rPr>
        <w:t xml:space="preserve">Illustrative Manufacturing Emissions:</w:t>
      </w:r>
      <w:r>
        <w:t xml:space="preserve"> </w:t>
      </w:r>
      <w:r>
        <w:t xml:space="preserve">3.892 kgCO2e/unit (Scope 2)</w:t>
      </w:r>
    </w:p>
    <w:bookmarkEnd w:id="31"/>
    <w:bookmarkStart w:id="32" w:name="Xe15bcefad9b1d0bc795f8aabd3b77cf47e2d925"/>
    <w:p>
      <w:pPr>
        <w:pStyle w:val="Heading4"/>
      </w:pPr>
      <w:r>
        <w:t xml:space="preserve">3.2.3. Transportation &amp; Distribution (Scope 3, Category 4: Upstream Transportation and Distribution)</w:t>
      </w:r>
    </w:p>
    <w:p>
      <w:pPr>
        <w:pStyle w:val="FirstParagraph"/>
      </w:pPr>
      <w:r>
        <w:t xml:space="preserve">The logistics data provided outlines the transport parameters. Due to the placeholder nature of "Select Mode" and "Delivery Type", illustrative emission factors from industry standards (e.g., DEFRA, GLEC) are used to demonstrate the calculation methodology. The supply chain is Europe-focused for upstream materials. For this illustrative calculation, we assume primary transport from Europe to China (sea freight) and internal distribution in China (road freight).</w:t>
      </w:r>
    </w:p>
    <w:p>
      <w:pPr>
        <w:numPr>
          <w:ilvl w:val="0"/>
          <w:numId w:val="1008"/>
        </w:numPr>
        <w:pStyle w:val="Compact"/>
      </w:pPr>
      <w:r>
        <w:rPr>
          <w:bCs/>
          <w:b/>
        </w:rPr>
        <w:t xml:space="preserve">Transport Distance:</w:t>
      </w:r>
      <w:r>
        <w:t xml:space="preserve"> </w:t>
      </w:r>
      <w:r>
        <w:t xml:space="preserve">`hwmizrthwn` (Illustrative: 10,000 km for sea freight, 500 km for road freight)</w:t>
      </w:r>
    </w:p>
    <w:p>
      <w:pPr>
        <w:numPr>
          <w:ilvl w:val="0"/>
          <w:numId w:val="1008"/>
        </w:numPr>
        <w:pStyle w:val="Compact"/>
      </w:pPr>
      <w:r>
        <w:rPr>
          <w:bCs/>
          <w:b/>
        </w:rPr>
        <w:t xml:space="preserve">Transport Mode:</w:t>
      </w:r>
      <w:r>
        <w:t xml:space="preserve"> </w:t>
      </w:r>
      <w:r>
        <w:t xml:space="preserve">`Select Mode` (Illustrative: Sea Freight for long haul, Road Freight for internal)</w:t>
      </w:r>
    </w:p>
    <w:p>
      <w:pPr>
        <w:numPr>
          <w:ilvl w:val="0"/>
          <w:numId w:val="1008"/>
        </w:numPr>
        <w:pStyle w:val="Compact"/>
      </w:pPr>
      <w:r>
        <w:rPr>
          <w:bCs/>
          <w:b/>
        </w:rPr>
        <w:t xml:space="preserve">Last-Mile Delivery Channel:</w:t>
      </w:r>
      <w:r>
        <w:t xml:space="preserve"> </w:t>
      </w:r>
      <w:r>
        <w:t xml:space="preserve">`Delivery Type` (Illustrative: Road Freight - parcel delivery)</w:t>
      </w:r>
    </w:p>
    <w:p>
      <w:pPr>
        <w:pStyle w:val="FirstParagraph"/>
      </w:pPr>
      <w:r>
        <w:rPr>
          <w:bCs/>
          <w:b/>
        </w:rPr>
        <w:t xml:space="preserve">Illustrative Transport Emission Factors:</w:t>
      </w:r>
    </w:p>
    <w:p>
      <w:pPr>
        <w:numPr>
          <w:ilvl w:val="0"/>
          <w:numId w:val="1009"/>
        </w:numPr>
        <w:pStyle w:val="Compact"/>
      </w:pPr>
      <w:r>
        <w:t xml:space="preserve">Sea Freight (Container Ship, average): 0.016 kgCO2e/tonne-km</w:t>
      </w:r>
    </w:p>
    <w:p>
      <w:pPr>
        <w:numPr>
          <w:ilvl w:val="0"/>
          <w:numId w:val="1009"/>
        </w:numPr>
        <w:pStyle w:val="Compact"/>
      </w:pPr>
      <w:r>
        <w:t xml:space="preserve">Road Freight (Heavy Goods Vehicle, average): 0.062 kgCO2e/tonne-km</w:t>
      </w:r>
    </w:p>
    <w:p>
      <w:pPr>
        <w:pStyle w:val="FirstParagraph"/>
      </w:pPr>
      <w:r>
        <w:rPr>
          <w:bCs/>
          <w:b/>
        </w:rPr>
        <w:t xml:space="preserve">Assumed Product Weight for Transport:</w:t>
      </w:r>
      <w:r>
        <w:t xml:space="preserve"> </w:t>
      </w:r>
      <w:r>
        <w:t xml:space="preserve">1 kg (This is a simplified assumption for illustration. Actual PCF would use product weight plus packaging.)</w:t>
      </w:r>
    </w:p>
    <w:p>
      <w:pPr>
        <w:pStyle w:val="BodyText"/>
      </w:pPr>
      <w:r>
        <w:rPr>
          <w:bCs/>
          <w:b/>
        </w:rPr>
        <w:t xml:space="preserve">Illustrative Calculation:</w:t>
      </w:r>
    </w:p>
    <w:p>
      <w:pPr>
        <w:numPr>
          <w:ilvl w:val="0"/>
          <w:numId w:val="1010"/>
        </w:numPr>
        <w:pStyle w:val="Compact"/>
      </w:pPr>
      <w:r>
        <w:rPr>
          <w:bCs/>
          <w:b/>
        </w:rPr>
        <w:t xml:space="preserve">Upstream Materials (Europe to China - Sea Freight):</w:t>
      </w:r>
    </w:p>
    <w:p>
      <w:pPr>
        <w:numPr>
          <w:ilvl w:val="1"/>
          <w:numId w:val="1011"/>
        </w:numPr>
        <w:pStyle w:val="Compact"/>
      </w:pPr>
      <w:r>
        <w:t xml:space="preserve">1 kg (product) * 10,000 km * 0.016 kgCO2e/tkm = 160 kgCO2e (for 1000 units, then 0.16 kgCO2e/unit)</w:t>
      </w:r>
    </w:p>
    <w:p>
      <w:pPr>
        <w:numPr>
          <w:ilvl w:val="0"/>
          <w:numId w:val="1010"/>
        </w:numPr>
        <w:pStyle w:val="Compact"/>
      </w:pPr>
      <w:r>
        <w:rPr>
          <w:bCs/>
          <w:b/>
        </w:rPr>
        <w:t xml:space="preserve">Internal Distribution (China - Road Freight):</w:t>
      </w:r>
    </w:p>
    <w:p>
      <w:pPr>
        <w:numPr>
          <w:ilvl w:val="1"/>
          <w:numId w:val="1012"/>
        </w:numPr>
        <w:pStyle w:val="Compact"/>
      </w:pPr>
      <w:r>
        <w:t xml:space="preserve">1 kg (product) * 500 km * 0.062 kgCO2e/tkm = 31 kgCO2e (for 1000 units, then 0.031 kgCO2e/unit)</w:t>
      </w:r>
    </w:p>
    <w:p>
      <w:pPr>
        <w:numPr>
          <w:ilvl w:val="0"/>
          <w:numId w:val="1010"/>
        </w:numPr>
        <w:pStyle w:val="Compact"/>
      </w:pPr>
      <w:r>
        <w:rPr>
          <w:bCs/>
          <w:b/>
        </w:rPr>
        <w:t xml:space="preserve">Last-Mile Delivery (to customer - Road Freight):</w:t>
      </w:r>
      <w:r>
        <w:t xml:space="preserve"> </w:t>
      </w:r>
      <w:r>
        <w:t xml:space="preserve">(Assuming an average 100km last-mile trip per unit with a smaller vehicle)</w:t>
      </w:r>
    </w:p>
    <w:p>
      <w:pPr>
        <w:numPr>
          <w:ilvl w:val="1"/>
          <w:numId w:val="1013"/>
        </w:numPr>
        <w:pStyle w:val="Compact"/>
      </w:pPr>
      <w:r>
        <w:t xml:space="preserve">1 kg (product) * 100 km * 0.062 kgCO2e/tkm = 6.2 kgCO2e (for 100 units, then 0.062 kgCO2e/unit)</w:t>
      </w:r>
    </w:p>
    <w:p>
      <w:pPr>
        <w:pStyle w:val="FirstParagraph"/>
      </w:pPr>
      <w:r>
        <w:rPr>
          <w:bCs/>
          <w:b/>
        </w:rPr>
        <w:t xml:space="preserve">Illustrative Total Transport Emissions:</w:t>
      </w:r>
      <w:r>
        <w:t xml:space="preserve"> </w:t>
      </w:r>
      <w:r>
        <w:t xml:space="preserve">0.16 + 0.031 + 0.062 = 0.253 kgCO2e/unit (Scope 3)</w:t>
      </w:r>
    </w:p>
    <w:bookmarkEnd w:id="32"/>
    <w:bookmarkStart w:id="33" w:name="Xc8d47610e025d3b1fe367d676386ecee874efa3"/>
    <w:p>
      <w:pPr>
        <w:pStyle w:val="Heading4"/>
      </w:pPr>
      <w:r>
        <w:t xml:space="preserve">3.2.4. Use Phase (Scope 3, Category 11: Use of Sold Products)</w:t>
      </w:r>
    </w:p>
    <w:p>
      <w:pPr>
        <w:pStyle w:val="FirstParagraph"/>
      </w:pPr>
      <w:r>
        <w:t xml:space="preserve">The use phase calculation incorporates specific data on product durability and energy consumption.</w:t>
      </w:r>
    </w:p>
    <w:p>
      <w:pPr>
        <w:numPr>
          <w:ilvl w:val="0"/>
          <w:numId w:val="1014"/>
        </w:numPr>
        <w:pStyle w:val="Compact"/>
      </w:pPr>
      <w:r>
        <w:rPr>
          <w:bCs/>
          <w:b/>
        </w:rPr>
        <w:t xml:space="preserve">Product Lifespan:</w:t>
      </w:r>
      <w:r>
        <w:t xml:space="preserve"> </w:t>
      </w:r>
      <w:r>
        <w:t xml:space="preserve">`gxtiettyot` (Illustrative: 5 years)</w:t>
      </w:r>
    </w:p>
    <w:p>
      <w:pPr>
        <w:numPr>
          <w:ilvl w:val="0"/>
          <w:numId w:val="1014"/>
        </w:numPr>
        <w:pStyle w:val="Compact"/>
      </w:pPr>
      <w:r>
        <w:rPr>
          <w:bCs/>
          <w:b/>
        </w:rPr>
        <w:t xml:space="preserve">Energy Consumption in Use:</w:t>
      </w:r>
      <w:r>
        <w:t xml:space="preserve"> </w:t>
      </w:r>
      <w:r>
        <w:t xml:space="preserve">`guodttinew` (Illustrative: 5 kWh/year)</w:t>
      </w:r>
    </w:p>
    <w:p>
      <w:pPr>
        <w:numPr>
          <w:ilvl w:val="0"/>
          <w:numId w:val="1014"/>
        </w:numPr>
        <w:pStyle w:val="Compact"/>
      </w:pPr>
      <w:r>
        <w:rPr>
          <w:bCs/>
          <w:b/>
        </w:rPr>
        <w:t xml:space="preserve">Electricity Emission Factor (User Region, e.g., Europe average):</w:t>
      </w:r>
      <w:r>
        <w:t xml:space="preserve"> </w:t>
      </w:r>
      <w:r>
        <w:t xml:space="preserve">Illustrative 0.25 kgCO2e/kWh</w:t>
      </w:r>
    </w:p>
    <w:p>
      <w:pPr>
        <w:numPr>
          <w:ilvl w:val="0"/>
          <w:numId w:val="1014"/>
        </w:numPr>
        <w:pStyle w:val="Compact"/>
      </w:pPr>
      <w:r>
        <w:rPr>
          <w:bCs/>
          <w:b/>
        </w:rPr>
        <w:t xml:space="preserve">Calculation:</w:t>
      </w:r>
    </w:p>
    <w:p>
      <w:pPr>
        <w:numPr>
          <w:ilvl w:val="1"/>
          <w:numId w:val="1015"/>
        </w:numPr>
        <w:pStyle w:val="Compact"/>
      </w:pPr>
      <w:r>
        <w:t xml:space="preserve">Total energy consumption over lifespan: 5 kWh/year * 5 years = 25 kWh</w:t>
      </w:r>
    </w:p>
    <w:p>
      <w:pPr>
        <w:numPr>
          <w:ilvl w:val="1"/>
          <w:numId w:val="1015"/>
        </w:numPr>
        <w:pStyle w:val="Compact"/>
      </w:pPr>
      <w:r>
        <w:t xml:space="preserve">Emissions from use phase: 25 kWh * 0.25 kgCO2e/kWh = 6.25 kgCO2e/unit</w:t>
      </w:r>
    </w:p>
    <w:p>
      <w:pPr>
        <w:pStyle w:val="FirstParagraph"/>
      </w:pPr>
      <w:r>
        <w:rPr>
          <w:bCs/>
          <w:b/>
        </w:rPr>
        <w:t xml:space="preserve">Illustrative Use Phase Emissions:</w:t>
      </w:r>
      <w:r>
        <w:t xml:space="preserve"> </w:t>
      </w:r>
      <w:r>
        <w:t xml:space="preserve">6.25 kgCO2e/unit (Scope 3)</w:t>
      </w:r>
    </w:p>
    <w:bookmarkEnd w:id="33"/>
    <w:bookmarkStart w:id="34" w:name="X9982929b618de862c11111658ccce8db3e98553"/>
    <w:p>
      <w:pPr>
        <w:pStyle w:val="Heading4"/>
      </w:pPr>
      <w:r>
        <w:t xml:space="preserve">3.2.5. End-of-Life (EoL) (Scope 3, Category 12: End-of-Life Treatment of Sold Products)</w:t>
      </w:r>
    </w:p>
    <w:p>
      <w:pPr>
        <w:pStyle w:val="FirstParagraph"/>
      </w:pPr>
      <w:r>
        <w:t xml:space="preserve">End-of-life scenarios are assessed based on recyclability and circular programs.</w:t>
      </w:r>
    </w:p>
    <w:p>
      <w:pPr>
        <w:numPr>
          <w:ilvl w:val="0"/>
          <w:numId w:val="1016"/>
        </w:numPr>
        <w:pStyle w:val="Compact"/>
      </w:pPr>
      <w:r>
        <w:rPr>
          <w:bCs/>
          <w:b/>
        </w:rPr>
        <w:t xml:space="preserve">Recyclability Percentage:</w:t>
      </w:r>
      <w:r>
        <w:t xml:space="preserve"> </w:t>
      </w:r>
      <w:r>
        <w:t xml:space="preserve">`lekgqimhyu` (Illustrative: 70% recyclable)</w:t>
      </w:r>
    </w:p>
    <w:p>
      <w:pPr>
        <w:numPr>
          <w:ilvl w:val="0"/>
          <w:numId w:val="1016"/>
        </w:numPr>
        <w:pStyle w:val="Compact"/>
      </w:pPr>
      <w:r>
        <w:rPr>
          <w:bCs/>
          <w:b/>
        </w:rPr>
        <w:t xml:space="preserve">Circular/Take-back Programs:</w:t>
      </w:r>
      <w:r>
        <w:t xml:space="preserve"> </w:t>
      </w:r>
      <w:r>
        <w:t xml:space="preserve">`mzsfuiujju` (Illustrative: Yes, established program)</w:t>
      </w:r>
    </w:p>
    <w:p>
      <w:pPr>
        <w:pStyle w:val="FirstParagraph"/>
      </w:pPr>
      <w:r>
        <w:rPr>
          <w:bCs/>
          <w:b/>
        </w:rPr>
        <w:t xml:space="preserve">Illustrative EoL Emission Factors:</w:t>
      </w:r>
    </w:p>
    <w:p>
      <w:pPr>
        <w:numPr>
          <w:ilvl w:val="0"/>
          <w:numId w:val="1017"/>
        </w:numPr>
        <w:pStyle w:val="Compact"/>
      </w:pPr>
      <w:r>
        <w:t xml:space="preserve">Landfill (mixed waste): 0.033 kgCO2e/kg (for plastic)</w:t>
      </w:r>
    </w:p>
    <w:p>
      <w:pPr>
        <w:numPr>
          <w:ilvl w:val="0"/>
          <w:numId w:val="1017"/>
        </w:numPr>
        <w:pStyle w:val="Compact"/>
      </w:pPr>
      <w:r>
        <w:t xml:space="preserve">Recycling (plastic processing): 0.202 kgCO2e/kg (though this avoids virgin material emissions)</w:t>
      </w:r>
    </w:p>
    <w:p>
      <w:pPr>
        <w:pStyle w:val="FirstParagraph"/>
      </w:pPr>
      <w:r>
        <w:rPr>
          <w:bCs/>
          <w:b/>
        </w:rPr>
        <w:t xml:space="preserve">Assumed Product Weight for EoL:</w:t>
      </w:r>
      <w:r>
        <w:t xml:space="preserve"> </w:t>
      </w:r>
      <w:r>
        <w:t xml:space="preserve">1 kg</w:t>
      </w:r>
    </w:p>
    <w:p>
      <w:pPr>
        <w:pStyle w:val="BodyText"/>
      </w:pPr>
      <w:r>
        <w:rPr>
          <w:bCs/>
          <w:b/>
        </w:rPr>
        <w:t xml:space="preserve">Illustrative Calculation (simplified):</w:t>
      </w:r>
    </w:p>
    <w:p>
      <w:pPr>
        <w:numPr>
          <w:ilvl w:val="0"/>
          <w:numId w:val="1018"/>
        </w:numPr>
        <w:pStyle w:val="Compact"/>
      </w:pPr>
      <w:r>
        <w:t xml:space="preserve">Disposed (30%): 0.3 kg * 0.033 kgCO2e/kg = 0.0099 kgCO2e</w:t>
      </w:r>
    </w:p>
    <w:p>
      <w:pPr>
        <w:numPr>
          <w:ilvl w:val="0"/>
          <w:numId w:val="1018"/>
        </w:numPr>
        <w:pStyle w:val="Compact"/>
      </w:pPr>
      <w:r>
        <w:t xml:space="preserve">Recycled (70%): Emissions from recycling process. While recycling itself has emissions, the key impact is the avoidance of virgin material production. For this PCF, we include the emissions from the recycling process itself, but a full LCA would also account for avoided virgin material production. Illustrative process emissions: 0.7 kg * 0.202 kgCO2e/kg = 0.1414 kgCO2e.</w:t>
      </w:r>
    </w:p>
    <w:p>
      <w:pPr>
        <w:numPr>
          <w:ilvl w:val="0"/>
          <w:numId w:val="1018"/>
        </w:numPr>
        <w:pStyle w:val="Compact"/>
      </w:pPr>
      <w:r>
        <w:t xml:space="preserve">Given the circular/take-back programs, it is assumed that the recycling benefits (avoided virgin production) largely offset the recycling process emissions. For a conservative PCF, we include the direct process emissions.</w:t>
      </w:r>
    </w:p>
    <w:p>
      <w:pPr>
        <w:pStyle w:val="FirstParagraph"/>
      </w:pPr>
      <w:r>
        <w:rPr>
          <w:bCs/>
          <w:b/>
        </w:rPr>
        <w:t xml:space="preserve">Illustrative Total EoL Emissions:</w:t>
      </w:r>
      <w:r>
        <w:t xml:space="preserve"> </w:t>
      </w:r>
      <w:r>
        <w:t xml:space="preserve">0.0099 + 0.1414 = 0.1513 kgCO2e/unit (Scope 3)</w:t>
      </w:r>
    </w:p>
    <w:bookmarkEnd w:id="34"/>
    <w:bookmarkEnd w:id="35"/>
    <w:bookmarkStart w:id="36" w:name="X7e4f081bd6031599908ff62fa06bdbf50bd2794"/>
    <w:p>
      <w:pPr>
        <w:pStyle w:val="Heading3"/>
      </w:pPr>
      <w:r>
        <w:t xml:space="preserve">3.3. Total Product Carbon Footprint (PCF) Summary (Illustrative)</w:t>
      </w:r>
    </w:p>
    <w:p>
      <w:pPr>
        <w:pStyle w:val="FirstParagraph"/>
      </w:pPr>
      <w:r>
        <w:t xml:space="preserve">Based on the illustrative calculations and data provided, the estimated Product Carbon Footprint for one unit of \'pnxhdpgkdr\' is as follows: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 &amp; Category</w:t>
            </w:r>
          </w:p>
        </w:tc>
        <w:tc>
          <w:tcPr/>
          <w:p>
            <w:pPr>
              <w:pStyle w:val="Compact"/>
              <w:jc w:val="left"/>
            </w:pPr>
            <w:r>
              <w:t xml:space="preserve">Lifecycle Stage</w:t>
            </w:r>
          </w:p>
        </w:tc>
        <w:tc>
          <w:tcPr/>
          <w:p>
            <w:pPr>
              <w:pStyle w:val="Compact"/>
              <w:jc w:val="left"/>
            </w:pPr>
            <w:r>
              <w:t xml:space="preserve">Illustrative Emissions (kgCO2e/unit)</w:t>
            </w:r>
          </w:p>
        </w:tc>
        <w:tc>
          <w:tcPr/>
          <w:p>
            <w:pPr>
              <w:pStyle w:val="Compact"/>
              <w:jc w:val="left"/>
            </w:pPr>
            <w:r>
              <w:t xml:space="preserve">Percentage (%)</w:t>
            </w:r>
          </w:p>
        </w:tc>
      </w:tr>
      <w:tr>
        <w:tc>
          <w:tcPr/>
          <w:p>
            <w:pPr>
              <w:pStyle w:val="Compact"/>
              <w:jc w:val="left"/>
            </w:pPr>
            <w:r>
              <w:t xml:space="preserve">Scope 1</w:t>
            </w:r>
          </w:p>
        </w:tc>
        <w:tc>
          <w:tcPr/>
          <w:p>
            <w:pPr>
              <w:pStyle w:val="Compact"/>
              <w:jc w:val="left"/>
            </w:pPr>
            <w:r>
              <w:t xml:space="preserve">Direct Operations (e.g., fuel combustion)</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(Manufacturing in China)</w:t>
            </w:r>
          </w:p>
        </w:tc>
        <w:tc>
          <w:tcPr/>
          <w:p>
            <w:pPr>
              <w:pStyle w:val="Compact"/>
              <w:jc w:val="left"/>
            </w:pPr>
            <w:r>
              <w:t xml:space="preserve">3.892</w:t>
            </w:r>
          </w:p>
        </w:tc>
        <w:tc>
          <w:tcPr/>
          <w:p>
            <w:pPr>
              <w:pStyle w:val="Compact"/>
              <w:jc w:val="left"/>
            </w:pPr>
            <w:r>
              <w:t xml:space="preserve">31.4%</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6.050</w:t>
            </w:r>
          </w:p>
        </w:tc>
        <w:tc>
          <w:tcPr/>
          <w:p>
            <w:pPr>
              <w:pStyle w:val="Compact"/>
              <w:jc w:val="left"/>
            </w:pPr>
            <w:r>
              <w:t xml:space="preserve">48.8%</w:t>
            </w:r>
          </w:p>
        </w:tc>
      </w:tr>
      <w:tr>
        <w:tc>
          <w:tcPr/>
          <w:p>
            <w:pPr>
              <w:pStyle w:val="Compact"/>
              <w:jc w:val="left"/>
            </w:pPr>
            <w:r>
              <w:t xml:space="preserve">Scope 3, Category 4</w:t>
            </w:r>
          </w:p>
        </w:tc>
        <w:tc>
          <w:tcPr/>
          <w:p>
            <w:pPr>
              <w:pStyle w:val="Compact"/>
              <w:jc w:val="left"/>
            </w:pPr>
            <w:r>
              <w:t xml:space="preserve">Upstream Transportation &amp; Distribution</w:t>
            </w:r>
          </w:p>
        </w:tc>
        <w:tc>
          <w:tcPr/>
          <w:p>
            <w:pPr>
              <w:pStyle w:val="Compact"/>
              <w:jc w:val="left"/>
            </w:pPr>
            <w:r>
              <w:t xml:space="preserve">0.253</w:t>
            </w:r>
          </w:p>
        </w:tc>
        <w:tc>
          <w:tcPr/>
          <w:p>
            <w:pPr>
              <w:pStyle w:val="Compact"/>
              <w:jc w:val="left"/>
            </w:pPr>
            <w:r>
              <w:t xml:space="preserve">2.0%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6.250</w:t>
            </w:r>
          </w:p>
        </w:tc>
        <w:tc>
          <w:tcPr/>
          <w:p>
            <w:pPr>
              <w:pStyle w:val="Compact"/>
              <w:jc w:val="left"/>
            </w:pPr>
            <w:r>
              <w:t xml:space="preserve">7.3%</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0.151</w:t>
            </w:r>
          </w:p>
        </w:tc>
        <w:tc>
          <w:tcPr/>
          <w:p>
            <w:pPr>
              <w:pStyle w:val="Compact"/>
              <w:jc w:val="left"/>
            </w:pPr>
            <w:r>
              <w:t xml:space="preserve">1.2%</w:t>
            </w:r>
          </w:p>
        </w:tc>
      </w:tr>
      <w:tr>
        <w:tc>
          <w:tcPr>
            <w:gridSpan w:val="2"/>
          </w:tcPr>
          <w:p>
            <w:pPr>
              <w:pStyle w:val="Compact"/>
              <w:jc w:val="right"/>
            </w:pPr>
            <w:r>
              <w:rPr>
                <w:bCs/>
                <w:b/>
              </w:rPr>
              <w:t xml:space="preserve">Total Illustrative PCF (kgCO2e/unit):</w:t>
            </w:r>
          </w:p>
        </w:tc>
        <w:tc>
          <w:tcPr/>
          <w:p>
            <w:pPr>
              <w:pStyle w:val="Compact"/>
              <w:jc w:val="left"/>
            </w:pPr>
            <w:r>
              <w:rPr>
                <w:bCs/>
                <w:b/>
              </w:rPr>
              <w:t xml:space="preserve">12.396</w:t>
            </w:r>
          </w:p>
        </w:tc>
        <w:tc>
          <w:tcPr/>
          <w:p>
            <w:pPr>
              <w:pStyle w:val="Compact"/>
              <w:jc w:val="left"/>
            </w:pPr>
            <w:r>
              <w:rPr>
                <w:bCs/>
                <w:b/>
              </w:rPr>
              <w:t xml:space="preserve">100.0%</w:t>
            </w:r>
          </w:p>
        </w:tc>
      </w:tr>
    </w:tbl>
    <w:p>
      <w:pPr>
        <w:pStyle w:val="BodyText"/>
      </w:pPr>
      <w:r>
        <w:rPr>
          <w:iCs/>
          <w:i/>
        </w:rPr>
        <w:t xml:space="preserve">Note: These are illustrative calculations to demonstrate the methodology using the provided parameters and generic emission factors. A precise PCF requires actual, granular data for each input and process. The total PCF is the sum of emissions across all relevant lifecycle stages, categorized by GHG Protocol Scopes.</w:t>
      </w:r>
    </w:p>
    <w:bookmarkEnd w:id="36"/>
    <w:bookmarkStart w:id="37" w:name="hotspots-and-reliability"/>
    <w:p>
      <w:pPr>
        <w:pStyle w:val="Heading3"/>
      </w:pPr>
      <w:r>
        <w:t xml:space="preserve">3.4. Hotspots and Reliability</w:t>
      </w:r>
    </w:p>
    <w:p>
      <w:pPr>
        <w:pStyle w:val="FirstParagraph"/>
      </w:pPr>
      <w:r>
        <w:t xml:space="preserve">Based on the illustrative analysis, the primary emission hotspots for \'pnxhdpgkdr\' are:</w:t>
      </w:r>
    </w:p>
    <w:p>
      <w:pPr>
        <w:numPr>
          <w:ilvl w:val="0"/>
          <w:numId w:val="1019"/>
        </w:numPr>
        <w:pStyle w:val="Compact"/>
      </w:pPr>
      <w:r>
        <w:rPr>
          <w:bCs/>
          <w:b/>
        </w:rPr>
        <w:t xml:space="preserve">Raw Materials (Scope 3, Category 1):</w:t>
      </w:r>
      <w:r>
        <w:t xml:space="preserve"> </w:t>
      </w:r>
      <w:r>
        <w:t xml:space="preserve">This constitutes the largest share of the product\'s footprint (48.8% in the illustrative example), driven by the inherent carbon intensity of manufacturing materials like aluminum and plastics. This is a common hotspot for manufactured goods.</w:t>
      </w:r>
    </w:p>
    <w:p>
      <w:pPr>
        <w:numPr>
          <w:ilvl w:val="0"/>
          <w:numId w:val="1019"/>
        </w:numPr>
        <w:pStyle w:val="Compact"/>
      </w:pPr>
      <w:r>
        <w:rPr>
          <w:bCs/>
          <w:b/>
        </w:rPr>
        <w:t xml:space="preserve">Purchased Electricity (Scope 2):</w:t>
      </w:r>
      <w:r>
        <w:t xml:space="preserve"> </w:t>
      </w:r>
      <w:r>
        <w:t xml:space="preserve">Manufacturing energy in China contributes significantly (31.4% in the illustrative example), indicating the impact of the regional energy mix.</w:t>
      </w:r>
    </w:p>
    <w:p>
      <w:pPr>
        <w:numPr>
          <w:ilvl w:val="0"/>
          <w:numId w:val="1019"/>
        </w:numPr>
        <w:pStyle w:val="Compact"/>
      </w:pPr>
      <w:r>
        <w:rPr>
          <w:bCs/>
          <w:b/>
        </w:rPr>
        <w:t xml:space="preserve">Use Phase (Scope 3, Category 11):</w:t>
      </w:r>
      <w:r>
        <w:t xml:space="preserve"> </w:t>
      </w:r>
      <w:r>
        <w:t xml:space="preserve">Energy consumption during the product\'s lifespan is also a notable contributor (7.3% in the illustrative example), depending on energy efficiency and user behavior.</w:t>
      </w:r>
    </w:p>
    <w:p>
      <w:pPr>
        <w:pStyle w:val="FirstParagraph"/>
      </w:pPr>
      <w:r>
        <w:rPr>
          <w:bCs/>
          <w:b/>
        </w:rPr>
        <w:t xml:space="preserve">Reliability:</w:t>
      </w:r>
      <w:r>
        <w:t xml:space="preserve"> </w:t>
      </w:r>
      <w:r>
        <w:t xml:space="preserve">The reliability of this PCF is directly dependent on the accuracy and completeness of the input data. The use of specific BOM data and energy customization parameters (even if placeholders were used for demonstration) enhances accuracy compared to default estimates. However, the use of illustrative emission factors for transport and end-of-life, and placeholder activity data for some parameters, introduces a level of uncertainty.</w:t>
      </w:r>
    </w:p>
    <w:bookmarkEnd w:id="37"/>
    <w:bookmarkStart w:id="38" w:name="recommendations-for-decarbonization"/>
    <w:p>
      <w:pPr>
        <w:pStyle w:val="Heading3"/>
      </w:pPr>
      <w:r>
        <w:t xml:space="preserve">3.5. Recommendations for Decarbonization</w:t>
      </w:r>
    </w:p>
    <w:p>
      <w:pPr>
        <w:numPr>
          <w:ilvl w:val="0"/>
          <w:numId w:val="1020"/>
        </w:numPr>
        <w:pStyle w:val="Compact"/>
      </w:pPr>
      <w:r>
        <w:rPr>
          <w:bCs/>
          <w:b/>
        </w:rPr>
        <w:t xml:space="preserve">Material Optimization:</w:t>
      </w:r>
      <w:r>
        <w:t xml:space="preserve"> </w:t>
      </w:r>
      <w:r>
        <w:t xml:space="preserve">Focus on sourcing lower-carbon alternative materials, increasing recycled content (if not already high), and optimizing material efficiency to reduce waste. Engage with suppliers to obtain primary emission data for materials.</w:t>
      </w:r>
    </w:p>
    <w:p>
      <w:pPr>
        <w:numPr>
          <w:ilvl w:val="0"/>
          <w:numId w:val="1020"/>
        </w:numPr>
        <w:pStyle w:val="Compact"/>
      </w:pPr>
      <w:r>
        <w:rPr>
          <w:bCs/>
          <w:b/>
        </w:rPr>
        <w:t xml:space="preserve">Renewable Energy Adoption:</w:t>
      </w:r>
      <w:r>
        <w:t xml:space="preserve"> </w:t>
      </w:r>
      <w:r>
        <w:t xml:space="preserve">Increase the percentage of renewable energy used in manufacturing operations beyond `uhjyvoenoj` to further reduce Scope 2 emissions. Explore purchasing renewable energy credits or investing in on-site renewable generation.</w:t>
      </w:r>
    </w:p>
    <w:p>
      <w:pPr>
        <w:numPr>
          <w:ilvl w:val="0"/>
          <w:numId w:val="1020"/>
        </w:numPr>
        <w:pStyle w:val="Compact"/>
      </w:pPr>
      <w:r>
        <w:rPr>
          <w:bCs/>
          <w:b/>
        </w:rPr>
        <w:t xml:space="preserve">Energy Efficiency in Use:</w:t>
      </w:r>
      <w:r>
        <w:t xml:space="preserve"> </w:t>
      </w:r>
      <w:r>
        <w:t xml:space="preserve">Enhance product design for energy efficiency during the use phase to minimize Scope 3 Category 11 emissions.</w:t>
      </w:r>
    </w:p>
    <w:p>
      <w:pPr>
        <w:numPr>
          <w:ilvl w:val="0"/>
          <w:numId w:val="1020"/>
        </w:numPr>
        <w:pStyle w:val="Compact"/>
      </w:pPr>
      <w:r>
        <w:rPr>
          <w:bCs/>
          <w:b/>
        </w:rPr>
        <w:t xml:space="preserve">Supply Chain Engagement:</w:t>
      </w:r>
      <w:r>
        <w:t xml:space="preserve"> </w:t>
      </w:r>
      <w:r>
        <w:t xml:space="preserve">Collaborate with transportation providers to optimize routes, explore lower-emission transport modes where feasible, and gather primary data on transport emissions.</w:t>
      </w:r>
    </w:p>
    <w:p>
      <w:pPr>
        <w:numPr>
          <w:ilvl w:val="0"/>
          <w:numId w:val="1020"/>
        </w:numPr>
        <w:pStyle w:val="Compact"/>
      </w:pPr>
      <w:r>
        <w:rPr>
          <w:bCs/>
          <w:b/>
        </w:rPr>
        <w:t xml:space="preserve">Circular Economy Initiatives:</w:t>
      </w:r>
      <w:r>
        <w:t xml:space="preserve"> </w:t>
      </w:r>
      <w:r>
        <w:t xml:space="preserve">Strengthen circular/take-back programs (`mzsfuiujju`) and explore design-for-disassembly and repairability to extend product lifespan and enhance end-of-life recycling rates (`lekgqimhyu`). Focus on high-value recycling streams.</w:t>
      </w:r>
    </w:p>
    <w:p>
      <w:pPr>
        <w:numPr>
          <w:ilvl w:val="0"/>
          <w:numId w:val="1020"/>
        </w:numPr>
        <w:pStyle w:val="Compact"/>
      </w:pPr>
      <w:r>
        <w:rPr>
          <w:bCs/>
          <w:b/>
        </w:rPr>
        <w:t xml:space="preserve">Data Quality Improvement:</w:t>
      </w:r>
      <w:r>
        <w:t xml:space="preserve"> </w:t>
      </w:r>
      <w:r>
        <w:t xml:space="preserve">Prioritize collecting primary data across all Scope 3 categories to improve the accuracy and robustness of future PCF analyses and ensure compliance with the 2026 GHG Protocol Scope 3 requirements for disaggregated data types.</w:t>
      </w:r>
    </w:p>
    <w:p>
      <w:r>
        <w:pict>
          <v:rect style="width:0;height:1.5pt" o:hralign="center" o:hrstd="t" o:hr="t"/>
        </w:pict>
      </w:r>
    </w:p>
    <w:bookmarkEnd w:id="38"/>
    <w:bookmarkEnd w:id="39"/>
    <w:bookmarkStart w:id="40" w:name="conclusion"/>
    <w:p>
      <w:pPr>
        <w:pStyle w:val="Heading2"/>
      </w:pPr>
      <w:r>
        <w:t xml:space="preserve">4. Conclusion</w:t>
      </w:r>
    </w:p>
    <w:p>
      <w:pPr>
        <w:pStyle w:val="FirstParagraph"/>
      </w:pPr>
      <w:r>
        <w:t xml:space="preserve">This detailed Product Carbon Footprint analysis for \'pnxhdpgkdr\', performed by \'ywunlfypww\' for \'druvxmqduj\', provides a comprehensive overview of its environmental impact across its lifecycle. Adhering to the GHG Protocol, including its 2026 LSR and Scope 3 updates, the report highlights that raw materials and manufacturing energy are significant emission hotspots. By focusing on material optimization, renewable energy procurement, energy-efficient design, and robust circular economy strategies, \'druvxmqduj\' can significantly reduce the carbon footprint of \'pnxhdpgkdr\' and reinforce its commitment to sustainability.</w:t>
      </w:r>
    </w:p>
    <w:p>
      <w:r>
        <w:pict>
          <v:rect style="width:0;height:1.5pt" o:hralign="center" o:hrstd="t" o:hr="t"/>
        </w:pict>
      </w:r>
    </w:p>
    <w:bookmarkEnd w:id="40"/>
    <w:p>
      <w:pPr>
        <w:pStyle w:val="FirstParagraph"/>
      </w:pPr>
      <w:r>
        <w:t xml:space="preserve">Confidential - Internal Use Only | Page</w:t>
      </w:r>
      <w:r>
        <w:t xml:space="preserve"> </w:t>
      </w:r>
      <w:bookmarkStart w:id="41" w:name="pageNumber"/>
      <w:bookmarkEnd w:id="41"/>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Analysis Report: pnxhdpgkdr</dc:title>
  <dc:creator/>
  <dc:description>Detailed Product Carbon Footprint (PCF) analysis report for pnxhdpgkdr, adhering to GHG Protocol standards and 2026 updates, prepared by Senior Sustainability Consultant ywunlfypww for druvxmqduj.</dc:description>
  <dc:language>en</dc:language>
  <cp:keywords/>
  <dcterms:created xsi:type="dcterms:W3CDTF">2026-07-15T04:39:32Z</dcterms:created>
  <dcterms:modified xsi:type="dcterms:W3CDTF">2026-07-15T04:39:32Z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