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sqdlimhuuz (Widget 3000)</w:t>
      </w:r>
    </w:p>
    <w:p>
      <w:pPr>
        <w:pStyle w:val="BodyText"/>
      </w:pPr>
      <w:r>
        <w:rPr>
          <w:bCs/>
          <w:b/>
        </w:rPr>
        <w:t xml:space="preserve">Company Name:</w:t>
      </w:r>
      <w:r>
        <w:t xml:space="preserve"> </w:t>
      </w:r>
      <w:r>
        <w:t xml:space="preserve">mnzgtgslto</w:t>
      </w:r>
    </w:p>
    <w:p>
      <w:pPr>
        <w:pStyle w:val="BodyText"/>
      </w:pPr>
      <w:r>
        <w:rPr>
          <w:bCs/>
          <w:b/>
        </w:rPr>
        <w:t xml:space="preserve">Senior Sustainability Consultant:</w:t>
      </w:r>
      <w:r>
        <w:t xml:space="preserve"> </w:t>
      </w:r>
      <w:r>
        <w:t xml:space="preserve">phnsfnveji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precision of input data.</w:t>
      </w:r>
    </w:p>
    <w:bookmarkEnd w:id="20"/>
    <w:bookmarkStart w:id="21" w:name="Xa87d010c1fd868336511b306fbd202996615f12"/>
    <w:p>
      <w:pPr>
        <w:pStyle w:val="Heading1"/>
      </w:pPr>
      <w:r>
        <w:t xml:space="preserve">Product Carbon Footprint Analysis Report</w:t>
      </w:r>
    </w:p>
    <w:p>
      <w:pPr>
        <w:pStyle w:val="FirstParagraph"/>
      </w:pPr>
      <w:r>
        <w:t xml:space="preserve">Product: sqdlimhuuz (Widget 3000)</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\'sqdlimhuuz\' (referred to as "Widget 3000"), manufactured by \'mnzgtgslto\'. The analysis was conducted by Senior Sustainability Consultant \'phnsfnveji\', specializing in the GHG Protocol. This assessment quantifies the greenhouse gas (GHG) emissions associated with the product\'s entire lifecycle, from raw material extraction to end-of-life, adhering to the GHG Protocol Product Standard and incorporating the latest 2026 Land Sector and Removals (LSR) Standard updates. The primary objective is to identify emission hotspots and provide actionable insights for reducing environmental impact.</w:t>
      </w:r>
    </w:p>
    <w:p>
      <w:r>
        <w:pict>
          <v:rect style="width:0;height:1.5pt" o:hralign="center" o:hrstd="t" o:hr="t"/>
        </w:pict>
      </w:r>
    </w:p>
    <w:bookmarkEnd w:id="22"/>
    <w:bookmarkStart w:id="24" w:name="scope-definition"/>
    <w:p>
      <w:pPr>
        <w:pStyle w:val="Heading2"/>
      </w:pPr>
      <w:r>
        <w:t xml:space="preserve">1. Scope Definition</w:t>
      </w:r>
    </w:p>
    <w:p>
      <w:pPr>
        <w:pStyle w:val="FirstParagraph"/>
      </w:pPr>
      <w:r>
        <w:t xml:space="preserve">The first step in any robust PCF analysis is clearly defining the scope. This sets the boundaries and parameters for the assessment.</w:t>
      </w:r>
    </w:p>
    <w:p>
      <w:pPr>
        <w:numPr>
          <w:ilvl w:val="0"/>
          <w:numId w:val="1001"/>
        </w:numPr>
        <w:pStyle w:val="Compact"/>
      </w:pPr>
      <w:r>
        <w:rPr>
          <w:bCs/>
          <w:b/>
        </w:rPr>
        <w:t xml:space="preserve">Functional Unit:</w:t>
      </w:r>
      <w:r>
        <w:t xml:space="preserve"> </w:t>
      </w:r>
      <w:r>
        <w:t xml:space="preserve">The analysis focuses on 1.0 unit of \'sqdlimhuuz\' (Widget 3000). The functional unit serves as a reference basis for quantifying inputs and outputs, allowing for comparisons.</w:t>
      </w:r>
    </w:p>
    <w:p>
      <w:pPr>
        <w:numPr>
          <w:ilvl w:val="0"/>
          <w:numId w:val="1001"/>
        </w:numPr>
        <w:pStyle w:val="Compact"/>
      </w:pPr>
      <w:r>
        <w:rPr>
          <w:bCs/>
          <w:b/>
        </w:rPr>
        <w:t xml:space="preserve">System Boundary:</w:t>
      </w:r>
      <w:r>
        <w:t xml:space="preserve"> </w:t>
      </w:r>
      <w:r>
        <w:t xml:space="preserve">A "factory_gate" to end-of-life approach has been adopted. This includes raw material acquisition and pre-processing, manufacturing, transportation to the customer,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raw materials and components primarily sourced from or transported through Europe to the Chinese factory).</w:t>
      </w:r>
    </w:p>
    <w:p>
      <w:pPr>
        <w:numPr>
          <w:ilvl w:val="0"/>
          <w:numId w:val="1001"/>
        </w:numPr>
        <w:pStyle w:val="Compact"/>
      </w:pPr>
      <w:r>
        <w:rPr>
          <w:bCs/>
          <w:b/>
        </w:rPr>
        <w:t xml:space="preserve">Accounting Standard:</w:t>
      </w:r>
      <w:r>
        <w:t xml:space="preserve"> </w:t>
      </w:r>
      <w:r>
        <w:t xml:space="preserve">The entire analysis strictly adheres to the</w:t>
      </w:r>
      <w:r>
        <w:t xml:space="preserve"> </w:t>
      </w:r>
      <w:hyperlink r:id="rId23">
        <w:r>
          <w:rPr>
            <w:rStyle w:val="Hyperlink"/>
          </w:rPr>
          <w:t xml:space="preserve">GHG Protocol Product Life Cycle Accounting and Reporting Standard</w:t>
        </w:r>
      </w:hyperlink>
      <w:r>
        <w:t xml:space="preserve">. This ensures consistency, transparency, and comparability of the results.</w:t>
      </w:r>
    </w:p>
    <w:p>
      <w:pPr>
        <w:numPr>
          <w:ilvl w:val="0"/>
          <w:numId w:val="1001"/>
        </w:numPr>
        <w:pStyle w:val="Compact"/>
      </w:pPr>
      <w:r>
        <w:rPr>
          <w:bCs/>
          <w:b/>
        </w:rPr>
        <w:t xml:space="preserve">Allocation:</w:t>
      </w:r>
      <w:r>
        <w:t xml:space="preserve"> </w:t>
      </w:r>
      <w:r>
        <w:t xml:space="preserve">Where co-products or recycling opportunities exist, economic allocation has been applied where appropriate, consistent with GHG Protocol guidelines.</w:t>
      </w:r>
    </w:p>
    <w:p>
      <w:r>
        <w:pict>
          <v:rect style="width:0;height:1.5pt" o:hralign="center" o:hrstd="t" o:hr="t"/>
        </w:pict>
      </w:r>
    </w:p>
    <w:bookmarkEnd w:id="24"/>
    <w:bookmarkStart w:id="30" w:name="lifecycle-mapping-and-3.-data-collection"/>
    <w:p>
      <w:pPr>
        <w:pStyle w:val="Heading2"/>
      </w:pPr>
      <w:r>
        <w:t xml:space="preserve">2. Lifecycle Mapping and 3. Data Collection</w:t>
      </w:r>
    </w:p>
    <w:p>
      <w:pPr>
        <w:pStyle w:val="FirstParagraph"/>
      </w:pPr>
      <w:r>
        <w:t xml:space="preserve">This section details the product\'s lifecycle stages and the specific data collected for each stage to build the Life Cycle Inventory (LCI). The data collection leveraged both primary data (where available) and secondary data from reputable databases.</w:t>
      </w:r>
    </w:p>
    <w:bookmarkStart w:id="25" w:name="X03d4fa9d8b690a14b6c5c601bd51f2b43f5f70e"/>
    <w:p>
      <w:pPr>
        <w:pStyle w:val="Heading3"/>
      </w:pPr>
      <w:r>
        <w:t xml:space="preserve">2.1. Detailed Bill of Materials (BOM) - \'yrwdevvx\'</w:t>
      </w:r>
    </w:p>
    <w:p>
      <w:pPr>
        <w:pStyle w:val="FirstParagraph"/>
      </w:pPr>
      <w:r>
        <w:t xml:space="preserve">The provided Detailed Bill of Materials (BOM) \'yrwdevvx\' is crucial for high-accuracy material impact calculation, replacing default estimates. For the purpose of this report, we interpret \'yrwdevvx\' as the following structured data. These specific values are directly used in the material emissions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G001</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Sheet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"Emission Factor" for each item represents the cradle-to-gate impact of the material and its associated manufacturing process. "Total Carbon" is calculated as Qty * Emission Factor.</w:t>
      </w:r>
    </w:p>
    <w:bookmarkEnd w:id="25"/>
    <w:bookmarkStart w:id="26" w:name="manufacturing-energy-customization"/>
    <w:p>
      <w:pPr>
        <w:pStyle w:val="Heading3"/>
      </w:pPr>
      <w:r>
        <w:t xml:space="preserve">2.2. Manufacturing Energy Customization</w:t>
      </w:r>
    </w:p>
    <w:p>
      <w:pPr>
        <w:numPr>
          <w:ilvl w:val="0"/>
          <w:numId w:val="1003"/>
        </w:numPr>
        <w:pStyle w:val="Compact"/>
      </w:pPr>
      <w:r>
        <w:rPr>
          <w:bCs/>
          <w:b/>
        </w:rPr>
        <w:t xml:space="preserve">Renewable Energy Usage (\'hlvwrqeqgu\'):</w:t>
      </w:r>
      <w:r>
        <w:t xml:space="preserve"> </w:t>
      </w:r>
      <w:r>
        <w:t xml:space="preserve">The manufacturing facility utilizes a significant percentage of renewable energy. For this analysis, a \'hlvwrqeqgu\' of 70% renewable energy usage is applied to the production phase.</w:t>
      </w:r>
    </w:p>
    <w:p>
      <w:pPr>
        <w:numPr>
          <w:ilvl w:val="0"/>
          <w:numId w:val="1003"/>
        </w:numPr>
        <w:pStyle w:val="Compact"/>
      </w:pPr>
      <w:r>
        <w:rPr>
          <w:bCs/>
          <w:b/>
        </w:rPr>
        <w:t xml:space="preserve">Energy Intensity (\'iywhfqrjgt\'):</w:t>
      </w:r>
      <w:r>
        <w:t xml:space="preserve"> </w:t>
      </w:r>
      <w:r>
        <w:t xml:space="preserve">The energy consumed during the manufacturing of one unit of \'sqdlimhuuz\' is \'iywhfqrjgt\' = 1.2 kWh/unit.</w:t>
      </w:r>
    </w:p>
    <w:p>
      <w:pPr>
        <w:numPr>
          <w:ilvl w:val="0"/>
          <w:numId w:val="1003"/>
        </w:numPr>
        <w:pStyle w:val="Compact"/>
      </w:pPr>
      <w:r>
        <w:rPr>
          <w:bCs/>
          <w:b/>
        </w:rPr>
        <w:t xml:space="preserve">Electricity Mix:</w:t>
      </w:r>
    </w:p>
    <w:p>
      <w:pPr>
        <w:numPr>
          <w:ilvl w:val="1"/>
          <w:numId w:val="1004"/>
        </w:numPr>
        <w:pStyle w:val="Compact"/>
      </w:pPr>
      <w:r>
        <w:t xml:space="preserve">Grid Electricity Emission Factor (China): 0.6 kgCO2e/kWh</w:t>
      </w:r>
    </w:p>
    <w:p>
      <w:pPr>
        <w:numPr>
          <w:ilvl w:val="1"/>
          <w:numId w:val="1004"/>
        </w:numPr>
        <w:pStyle w:val="Compact"/>
      </w:pPr>
      <w:r>
        <w:t xml:space="preserve">Renewable Electricity Emission Factor (e.g., Wind/Solar blend): 0.01 kgCO2e/kWh</w:t>
      </w:r>
    </w:p>
    <w:bookmarkEnd w:id="26"/>
    <w:bookmarkStart w:id="27" w:name="transportation-and-logistics"/>
    <w:p>
      <w:pPr>
        <w:pStyle w:val="Heading3"/>
      </w:pPr>
      <w:r>
        <w:t xml:space="preserve">2.3. Transportation and Logistics</w:t>
      </w:r>
    </w:p>
    <w:p>
      <w:pPr>
        <w:pStyle w:val="FirstParagraph"/>
      </w:pPr>
      <w:r>
        <w:t xml:space="preserve">The specific logistics data has been incorporated into the supply chain analysis to reflect accurate transportation impacts.</w:t>
      </w:r>
    </w:p>
    <w:p>
      <w:pPr>
        <w:numPr>
          <w:ilvl w:val="0"/>
          <w:numId w:val="1005"/>
        </w:numPr>
        <w:pStyle w:val="Compact"/>
      </w:pPr>
      <w:r>
        <w:rPr>
          <w:bCs/>
          <w:b/>
        </w:rPr>
        <w:t xml:space="preserve">Primary Transport Mode (\'Select Mode\'):</w:t>
      </w:r>
      <w:r>
        <w:t xml:space="preserve"> </w:t>
      </w:r>
      <w:r>
        <w:t xml:space="preserve">Road Freight (Heavy Goods Vehicle &gt; 16t). This mode is assumed for the transport of raw materials and components from their European supply chain focus to the Chinese production facility.</w:t>
      </w:r>
    </w:p>
    <w:p>
      <w:pPr>
        <w:numPr>
          <w:ilvl w:val="0"/>
          <w:numId w:val="1005"/>
        </w:numPr>
        <w:pStyle w:val="Compact"/>
      </w:pPr>
      <w:r>
        <w:rPr>
          <w:bCs/>
          <w:b/>
        </w:rPr>
        <w:t xml:space="preserve">Transport Distance (\'diosyrtwhm\'):</w:t>
      </w:r>
      <w:r>
        <w:t xml:space="preserve"> </w:t>
      </w:r>
      <w:r>
        <w:t xml:space="preserve">1500 km. This distance represents an average for the inbound logistics of major components.</w:t>
      </w:r>
    </w:p>
    <w:p>
      <w:pPr>
        <w:numPr>
          <w:ilvl w:val="0"/>
          <w:numId w:val="1005"/>
        </w:numPr>
        <w:pStyle w:val="Compact"/>
      </w:pPr>
      <w:r>
        <w:rPr>
          <w:bCs/>
          <w:b/>
        </w:rPr>
        <w:t xml:space="preserve">Last-Mile Delivery Channel (\'Delivery Type\'):</w:t>
      </w:r>
      <w:r>
        <w:t xml:space="preserve"> </w:t>
      </w:r>
      <w:r>
        <w:t xml:space="preserve">Parcel Service. This is assumed for the distribution of the finished product to the end-consumer.</w:t>
      </w:r>
    </w:p>
    <w:p>
      <w:pPr>
        <w:numPr>
          <w:ilvl w:val="0"/>
          <w:numId w:val="1005"/>
        </w:numPr>
        <w:pStyle w:val="Compact"/>
      </w:pPr>
      <w:r>
        <w:rPr>
          <w:bCs/>
          <w:b/>
        </w:rPr>
        <w:t xml:space="preserve">Emission Factors:</w:t>
      </w:r>
    </w:p>
    <w:p>
      <w:pPr>
        <w:numPr>
          <w:ilvl w:val="1"/>
          <w:numId w:val="1006"/>
        </w:numPr>
        <w:pStyle w:val="Compact"/>
      </w:pPr>
      <w:r>
        <w:t xml:space="preserve">Road Freight (HGV &gt; 16t): 0.08 kgCO2e/tkm</w:t>
      </w:r>
    </w:p>
    <w:p>
      <w:pPr>
        <w:numPr>
          <w:ilvl w:val="1"/>
          <w:numId w:val="1006"/>
        </w:numPr>
        <w:pStyle w:val="Compact"/>
      </w:pPr>
      <w:r>
        <w:t xml:space="preserve">Parcel Service: 0.5 kgCO2e/parcel (assumed for an average small package)</w:t>
      </w:r>
    </w:p>
    <w:bookmarkEnd w:id="27"/>
    <w:bookmarkStart w:id="28" w:name="use-phase"/>
    <w:p>
      <w:pPr>
        <w:pStyle w:val="Heading3"/>
      </w:pPr>
      <w:r>
        <w:t xml:space="preserve">2.4. Use Phase</w:t>
      </w:r>
    </w:p>
    <w:p>
      <w:pPr>
        <w:pStyle w:val="FirstParagraph"/>
      </w:pPr>
      <w:r>
        <w:t xml:space="preserve">The \'Use Phase\' calculation has been expanded using the specific durability and consumption data provided.</w:t>
      </w:r>
    </w:p>
    <w:p>
      <w:pPr>
        <w:numPr>
          <w:ilvl w:val="0"/>
          <w:numId w:val="1007"/>
        </w:numPr>
        <w:pStyle w:val="Compact"/>
      </w:pPr>
      <w:r>
        <w:rPr>
          <w:bCs/>
          <w:b/>
        </w:rPr>
        <w:t xml:space="preserve">Product Lifespan (\'ouvgqprtjg\'):</w:t>
      </w:r>
      <w:r>
        <w:t xml:space="preserve"> </w:t>
      </w:r>
      <w:r>
        <w:t xml:space="preserve">5 years. This is the assumed average useful life of the Widget 3000.</w:t>
      </w:r>
    </w:p>
    <w:p>
      <w:pPr>
        <w:numPr>
          <w:ilvl w:val="0"/>
          <w:numId w:val="1007"/>
        </w:numPr>
        <w:pStyle w:val="Compact"/>
      </w:pPr>
      <w:r>
        <w:rPr>
          <w:bCs/>
          <w:b/>
        </w:rPr>
        <w:t xml:space="preserve">Energy Consumption in Use (\'zfleludksg\'):</w:t>
      </w:r>
      <w:r>
        <w:t xml:space="preserve"> </w:t>
      </w:r>
      <w:r>
        <w:t xml:space="preserve">5 kWh/year. This represents the operational electricity consumption of the product.</w:t>
      </w:r>
    </w:p>
    <w:p>
      <w:pPr>
        <w:numPr>
          <w:ilvl w:val="0"/>
          <w:numId w:val="1007"/>
        </w:numPr>
        <w:pStyle w:val="Compact"/>
      </w:pPr>
      <w:r>
        <w:rPr>
          <w:bCs/>
          <w:b/>
        </w:rPr>
        <w:t xml:space="preserve">Electricity Emission Factor (End-user region, assumed generic grid):</w:t>
      </w:r>
      <w:r>
        <w:t xml:space="preserve"> </w:t>
      </w:r>
      <w:r>
        <w:t xml:space="preserve">0.4 kgCO2e/kWh</w:t>
      </w:r>
    </w:p>
    <w:bookmarkEnd w:id="28"/>
    <w:bookmarkStart w:id="29" w:name="end-of-life-eol-scenarios"/>
    <w:p>
      <w:pPr>
        <w:pStyle w:val="Heading3"/>
      </w:pPr>
      <w:r>
        <w:t xml:space="preserve">2.5. End-of-Life (EoL) Scenarios</w:t>
      </w:r>
    </w:p>
    <w:p>
      <w:pPr>
        <w:pStyle w:val="FirstParagraph"/>
      </w:pPr>
      <w:r>
        <w:t xml:space="preserve">End-of-Life scenarios are critical for reflecting circular economy impacts.</w:t>
      </w:r>
    </w:p>
    <w:p>
      <w:pPr>
        <w:numPr>
          <w:ilvl w:val="0"/>
          <w:numId w:val="1008"/>
        </w:numPr>
        <w:pStyle w:val="Compact"/>
      </w:pPr>
      <w:r>
        <w:rPr>
          <w:bCs/>
          <w:b/>
        </w:rPr>
        <w:t xml:space="preserve">Recyclability Percentage (\'hrrzfvutsr\'):</w:t>
      </w:r>
      <w:r>
        <w:t xml:space="preserve"> </w:t>
      </w:r>
      <w:r>
        <w:t xml:space="preserve">80%. This indicates that 80% of the product\'s material by weight is technically recyclable.</w:t>
      </w:r>
    </w:p>
    <w:p>
      <w:pPr>
        <w:numPr>
          <w:ilvl w:val="0"/>
          <w:numId w:val="1008"/>
        </w:numPr>
        <w:pStyle w:val="Compact"/>
      </w:pPr>
      <w:r>
        <w:rPr>
          <w:bCs/>
          <w:b/>
        </w:rPr>
        <w:t xml:space="preserve">Circular/Take-back Programs (\'dgonkeromw\'):</w:t>
      </w:r>
      <w:r>
        <w:t xml:space="preserve"> </w:t>
      </w:r>
      <w:r>
        <w:t xml:space="preserve">"Return &amp; Refurbish Program". The existence of such a program can significantly reduce EoL impacts by extending product life or ensuring proper recycling.</w:t>
      </w:r>
    </w:p>
    <w:p>
      <w:pPr>
        <w:numPr>
          <w:ilvl w:val="0"/>
          <w:numId w:val="1008"/>
        </w:numPr>
        <w:pStyle w:val="Compact"/>
      </w:pPr>
      <w:r>
        <w:rPr>
          <w:bCs/>
          <w:b/>
        </w:rPr>
        <w:t xml:space="preserve">Emission Factors/Credits:</w:t>
      </w:r>
    </w:p>
    <w:p>
      <w:pPr>
        <w:numPr>
          <w:ilvl w:val="1"/>
          <w:numId w:val="1009"/>
        </w:numPr>
        <w:pStyle w:val="Compact"/>
      </w:pPr>
      <w:r>
        <w:t xml:space="preserve">Waste to Landfill (general for unrecyclable parts): 0.2 kgCO2e/kg</w:t>
      </w:r>
    </w:p>
    <w:p>
      <w:pPr>
        <w:numPr>
          <w:ilvl w:val="1"/>
          <w:numId w:val="1009"/>
        </w:numPr>
        <w:pStyle w:val="Compact"/>
      </w:pPr>
      <w:r>
        <w:t xml:space="preserve">Recycled Material Credit (general for metals/plastics, average): -2.0 kgCO2e/kg (credit for avoiding virgin material production)</w:t>
      </w:r>
    </w:p>
    <w:p>
      <w:pPr>
        <w:pStyle w:val="FirstParagraph"/>
      </w:pPr>
      <w:r>
        <w:rPr>
          <w:iCs/>
          <w:i/>
        </w:rPr>
        <w:t xml:space="preserve">Note on Emission Factors: All emission factors used in this analysis are industry-standard, drawing conceptually from databases like Ecoinvent and DEFRA, adapted for illustrative purposes based on the provided parameters.</w:t>
      </w:r>
    </w:p>
    <w:p>
      <w:r>
        <w:pict>
          <v:rect style="width:0;height:1.5pt" o:hralign="center" o:hrstd="t" o:hr="t"/>
        </w:pict>
      </w:r>
    </w:p>
    <w:bookmarkEnd w:id="29"/>
    <w:bookmarkEnd w:id="30"/>
    <w:bookmarkStart w:id="41" w:name="Xdd0f433185fde5fd9508eee9e1e7bcaa542b608"/>
    <w:p>
      <w:pPr>
        <w:pStyle w:val="Heading2"/>
      </w:pPr>
      <w:r>
        <w:t xml:space="preserve">4. Emission Calculation and GHG Protocol Categorization</w:t>
      </w:r>
    </w:p>
    <w:p>
      <w:pPr>
        <w:pStyle w:val="FirstParagraph"/>
      </w:pPr>
      <w:r>
        <w:t xml:space="preserve">Emissions are calculated for each lifecycle stage (Activity * Emission Factor = CO2e) and categorized according to the GHG Protocol\'s Scope 1, Scope 2, and Scope 3.</w:t>
      </w:r>
    </w:p>
    <w:bookmarkStart w:id="36" w:name="lifecycle-stage-emissions-breakdown"/>
    <w:p>
      <w:pPr>
        <w:pStyle w:val="Heading3"/>
      </w:pPr>
      <w:r>
        <w:t xml:space="preserve">4.1. Lifecycle Stage Emissions Breakdown</w:t>
      </w:r>
    </w:p>
    <w:bookmarkStart w:id="31" w:name="Xff31e690bfe279af69cf88b9219fe5d56042afb"/>
    <w:p>
      <w:pPr>
        <w:pStyle w:val="Heading4"/>
      </w:pPr>
      <w:r>
        <w:t xml:space="preserve">4.1.1. Raw Material Acquisition &amp; Pre-processing (Scope 3 - Upstream)</w:t>
      </w:r>
    </w:p>
    <w:p>
      <w:pPr>
        <w:pStyle w:val="FirstParagraph"/>
      </w:pPr>
      <w:r>
        <w:t xml:space="preserve">Calculated directly from the "Total Carbon" column in the Detailed BOM.</w:t>
      </w:r>
    </w:p>
    <w:p>
      <w:pPr>
        <w:numPr>
          <w:ilvl w:val="0"/>
          <w:numId w:val="1010"/>
        </w:numPr>
        <w:pStyle w:val="Compact"/>
      </w:pPr>
      <w:r>
        <w:t xml:space="preserve">Material Impact (Aluminium Casing): 3.00 kgCO2e</w:t>
      </w:r>
    </w:p>
    <w:p>
      <w:pPr>
        <w:numPr>
          <w:ilvl w:val="0"/>
          <w:numId w:val="1010"/>
        </w:numPr>
        <w:pStyle w:val="Compact"/>
      </w:pPr>
      <w:r>
        <w:t xml:space="preserve">Material Impact (ABS Plastic Housing): 0.70 kgCO2e</w:t>
      </w:r>
    </w:p>
    <w:p>
      <w:pPr>
        <w:numPr>
          <w:ilvl w:val="0"/>
          <w:numId w:val="1010"/>
        </w:numPr>
        <w:pStyle w:val="Compact"/>
      </w:pPr>
      <w:r>
        <w:t xml:space="preserve">Material Impact (Printed Circuit Board): 1.50 kgCO2e</w:t>
      </w:r>
    </w:p>
    <w:p>
      <w:pPr>
        <w:numPr>
          <w:ilvl w:val="0"/>
          <w:numId w:val="1010"/>
        </w:numPr>
        <w:pStyle w:val="Compact"/>
      </w:pPr>
      <w:r>
        <w:t xml:space="preserve">Material Impact (Copper Wiring): 0.20 kgCO2e</w:t>
      </w:r>
    </w:p>
    <w:p>
      <w:pPr>
        <w:numPr>
          <w:ilvl w:val="0"/>
          <w:numId w:val="1010"/>
        </w:numPr>
        <w:pStyle w:val="Compact"/>
      </w:pPr>
      <w:r>
        <w:t xml:space="preserve">Material Impact (Glass Display Panel): 0.12 kgCO2e</w:t>
      </w:r>
    </w:p>
    <w:p>
      <w:pPr>
        <w:numPr>
          <w:ilvl w:val="0"/>
          <w:numId w:val="1010"/>
        </w:numPr>
        <w:pStyle w:val="Compact"/>
      </w:pPr>
      <w:r>
        <w:rPr>
          <w:bCs/>
          <w:b/>
        </w:rPr>
        <w:t xml:space="preserve">Total Material Emissions: 5.52 kgCO2e</w:t>
      </w:r>
    </w:p>
    <w:bookmarkEnd w:id="31"/>
    <w:bookmarkStart w:id="32" w:name="manufacturing-scope-1-2"/>
    <w:p>
      <w:pPr>
        <w:pStyle w:val="Heading4"/>
      </w:pPr>
      <w:r>
        <w:t xml:space="preserve">4.1.2. Manufacturing (Scope 1 &amp; 2)</w:t>
      </w:r>
    </w:p>
    <w:p>
      <w:pPr>
        <w:pStyle w:val="FirstParagraph"/>
      </w:pPr>
      <w:r>
        <w:t xml:space="preserve">Manufacturing emissions are primarily driven by energy consumption.</w:t>
      </w:r>
    </w:p>
    <w:p>
      <w:pPr>
        <w:numPr>
          <w:ilvl w:val="0"/>
          <w:numId w:val="1011"/>
        </w:numPr>
        <w:pStyle w:val="Compact"/>
      </w:pPr>
      <w:r>
        <w:t xml:space="preserve">Total Energy Consumption: 1.2 kWh/unit (iywhfqrjgt)</w:t>
      </w:r>
    </w:p>
    <w:p>
      <w:pPr>
        <w:numPr>
          <w:ilvl w:val="0"/>
          <w:numId w:val="1011"/>
        </w:numPr>
        <w:pStyle w:val="Compact"/>
      </w:pPr>
      <w:r>
        <w:t xml:space="preserve">Renewable Energy Usage: 70% (hlvwrqeqgu)</w:t>
      </w:r>
    </w:p>
    <w:p>
      <w:pPr>
        <w:numPr>
          <w:ilvl w:val="0"/>
          <w:numId w:val="1011"/>
        </w:numPr>
        <w:pStyle w:val="Compact"/>
      </w:pPr>
      <w:r>
        <w:t xml:space="preserve">Non-Renewable Energy Usage: 30%</w:t>
      </w:r>
    </w:p>
    <w:p>
      <w:pPr>
        <w:numPr>
          <w:ilvl w:val="0"/>
          <w:numId w:val="1011"/>
        </w:numPr>
        <w:pStyle w:val="Compact"/>
      </w:pPr>
      <w:r>
        <w:t xml:space="preserve">Non-Renewable Electricity: 1.2 kWh * 0.30 = 0.36 kWh</w:t>
      </w:r>
    </w:p>
    <w:p>
      <w:pPr>
        <w:numPr>
          <w:ilvl w:val="0"/>
          <w:numId w:val="1011"/>
        </w:numPr>
        <w:pStyle w:val="Compact"/>
      </w:pPr>
      <w:r>
        <w:t xml:space="preserve">Renewable Electricity: 1.2 kWh * 0.70 = 0.84 kWh</w:t>
      </w:r>
    </w:p>
    <w:p>
      <w:pPr>
        <w:numPr>
          <w:ilvl w:val="0"/>
          <w:numId w:val="1011"/>
        </w:numPr>
        <w:pStyle w:val="Compact"/>
      </w:pPr>
      <w:r>
        <w:t xml:space="preserve">Emissions from Non-Renewable Electricity (Scope 2): 0.36 kWh * 0.6 kgCO2e/kWh (China Grid) = 0.216 kgCO2e</w:t>
      </w:r>
    </w:p>
    <w:p>
      <w:pPr>
        <w:numPr>
          <w:ilvl w:val="0"/>
          <w:numId w:val="1011"/>
        </w:numPr>
        <w:pStyle w:val="Compact"/>
      </w:pPr>
      <w:r>
        <w:t xml:space="preserve">Emissions from Renewable Electricity (Scope 2 - Market-based): 0.84 kWh * 0.01 kgCO2e/kWh = 0.0084 kgCO2e</w:t>
      </w:r>
    </w:p>
    <w:p>
      <w:pPr>
        <w:numPr>
          <w:ilvl w:val="0"/>
          <w:numId w:val="1011"/>
        </w:numPr>
        <w:pStyle w:val="Compact"/>
      </w:pPr>
      <w:r>
        <w:rPr>
          <w:bCs/>
          <w:b/>
        </w:rPr>
        <w:t xml:space="preserve">Total Manufacturing Energy Emissions: 0.2244 kgCO2e</w:t>
      </w:r>
    </w:p>
    <w:p>
      <w:pPr>
        <w:pStyle w:val="FirstParagraph"/>
      </w:pPr>
      <w:r>
        <w:rPr>
          <w:iCs/>
          <w:i/>
        </w:rPr>
        <w:t xml:space="preserve">Note: Scope 1 emissions (direct emissions from owned/controlled sources like on-site fuel combustion) are assumed to be negligible for this \'factory_gate\' boundary based on the provided parameters, focusing predominantly on purchased electricity for manufacturing.</w:t>
      </w:r>
    </w:p>
    <w:bookmarkEnd w:id="32"/>
    <w:bookmarkStart w:id="33" w:name="X981923b8cb60f0edee598a5efe02199461582eb"/>
    <w:p>
      <w:pPr>
        <w:pStyle w:val="Heading4"/>
      </w:pPr>
      <w:r>
        <w:t xml:space="preserve">4.1.3. Transportation (Scope 3 - Upstream &amp; Downstream)</w:t>
      </w:r>
    </w:p>
    <w:p>
      <w:pPr>
        <w:numPr>
          <w:ilvl w:val="0"/>
          <w:numId w:val="1012"/>
        </w:numPr>
        <w:pStyle w:val="Compact"/>
      </w:pPr>
      <w:r>
        <w:rPr>
          <w:bCs/>
          <w:b/>
        </w:rPr>
        <w:t xml:space="preserve">Inbound Logistics (Components to Factory - Scope 3 Upstream):</w:t>
      </w:r>
    </w:p>
    <w:p>
      <w:pPr>
        <w:numPr>
          <w:ilvl w:val="1"/>
          <w:numId w:val="1013"/>
        </w:numPr>
        <w:pStyle w:val="Compact"/>
      </w:pPr>
      <w:r>
        <w:t xml:space="preserve">Assumed Product Weight for transport (sum of BOM items): 0.5 + 0.2 + (1.0 * estimated PCB weight 0.1) + 0.05 + 0.1 = 0.95 kg (approx 0.00095 tonnes)</w:t>
      </w:r>
    </w:p>
    <w:p>
      <w:pPr>
        <w:numPr>
          <w:ilvl w:val="1"/>
          <w:numId w:val="1013"/>
        </w:numPr>
        <w:pStyle w:val="Compact"/>
      </w:pPr>
      <w:r>
        <w:t xml:space="preserve">Emissions: 0.00095 tonnes * 1500 km * 0.08 kgCO2e/tkm = 0.114 kgCO2e</w:t>
      </w:r>
    </w:p>
    <w:p>
      <w:pPr>
        <w:numPr>
          <w:ilvl w:val="0"/>
          <w:numId w:val="1012"/>
        </w:numPr>
        <w:pStyle w:val="Compact"/>
      </w:pPr>
      <w:r>
        <w:rPr>
          <w:bCs/>
          <w:b/>
        </w:rPr>
        <w:t xml:space="preserve">Last-Mile Delivery (Product to Customer - Scope 3 Downstream):</w:t>
      </w:r>
    </w:p>
    <w:p>
      <w:pPr>
        <w:numPr>
          <w:ilvl w:val="1"/>
          <w:numId w:val="1014"/>
        </w:numPr>
        <w:pStyle w:val="Compact"/>
      </w:pPr>
      <w:r>
        <w:t xml:space="preserve">Emissions: 1 parcel * 0.5 kgCO2e/parcel = 0.50 kgCO2e</w:t>
      </w:r>
    </w:p>
    <w:p>
      <w:pPr>
        <w:numPr>
          <w:ilvl w:val="0"/>
          <w:numId w:val="1012"/>
        </w:numPr>
        <w:pStyle w:val="Compact"/>
      </w:pPr>
      <w:r>
        <w:rPr>
          <w:bCs/>
          <w:b/>
        </w:rPr>
        <w:t xml:space="preserve">Total Transportation Emissions: 0.114 + 0.50 = 0.614 kgCO2e</w:t>
      </w:r>
    </w:p>
    <w:bookmarkEnd w:id="33"/>
    <w:bookmarkStart w:id="34" w:name="use-phase-scope-3---downstream"/>
    <w:p>
      <w:pPr>
        <w:pStyle w:val="Heading4"/>
      </w:pPr>
      <w:r>
        <w:t xml:space="preserve">4.1.4. Use Phase (Scope 3 - Downstream)</w:t>
      </w:r>
    </w:p>
    <w:p>
      <w:pPr>
        <w:pStyle w:val="FirstParagraph"/>
      </w:pPr>
      <w:r>
        <w:t xml:space="preserve">Based on product lifespan and energy consumption.</w:t>
      </w:r>
    </w:p>
    <w:p>
      <w:pPr>
        <w:numPr>
          <w:ilvl w:val="0"/>
          <w:numId w:val="1015"/>
        </w:numPr>
        <w:pStyle w:val="Compact"/>
      </w:pPr>
      <w:r>
        <w:t xml:space="preserve">Annual Energy Consumption: 5 kWh/year (zfleludksg)</w:t>
      </w:r>
    </w:p>
    <w:p>
      <w:pPr>
        <w:numPr>
          <w:ilvl w:val="0"/>
          <w:numId w:val="1015"/>
        </w:numPr>
        <w:pStyle w:val="Compact"/>
      </w:pPr>
      <w:r>
        <w:t xml:space="preserve">Product Lifespan: 5 years (ouvgqprtjg)</w:t>
      </w:r>
    </w:p>
    <w:p>
      <w:pPr>
        <w:numPr>
          <w:ilvl w:val="0"/>
          <w:numId w:val="1015"/>
        </w:numPr>
        <w:pStyle w:val="Compact"/>
      </w:pPr>
      <w:r>
        <w:t xml:space="preserve">Total Energy Consumption over Lifespan: 5 kWh/year * 5 years = 25 kWh</w:t>
      </w:r>
    </w:p>
    <w:p>
      <w:pPr>
        <w:numPr>
          <w:ilvl w:val="0"/>
          <w:numId w:val="1015"/>
        </w:numPr>
        <w:pStyle w:val="Compact"/>
      </w:pPr>
      <w:r>
        <w:t xml:space="preserve">Emissions: 25 kWh * 0.4 kgCO2e/kWh (generic grid) = 10.00 kgCO2e</w:t>
      </w:r>
    </w:p>
    <w:p>
      <w:pPr>
        <w:numPr>
          <w:ilvl w:val="0"/>
          <w:numId w:val="1015"/>
        </w:numPr>
        <w:pStyle w:val="Compact"/>
      </w:pPr>
      <w:r>
        <w:rPr>
          <w:bCs/>
          <w:b/>
        </w:rPr>
        <w:t xml:space="preserve">Total Use Phase Emissions: 10.00 kgCO2e</w:t>
      </w:r>
    </w:p>
    <w:bookmarkEnd w:id="34"/>
    <w:bookmarkStart w:id="35" w:name="end-of-life-eol-scope-3---downstream"/>
    <w:p>
      <w:pPr>
        <w:pStyle w:val="Heading4"/>
      </w:pPr>
      <w:r>
        <w:t xml:space="preserve">4.1.5. End-of-Life (EoL) (Scope 3 - Downstream)</w:t>
      </w:r>
    </w:p>
    <w:p>
      <w:pPr>
        <w:pStyle w:val="FirstParagraph"/>
      </w:pPr>
      <w:r>
        <w:t xml:space="preserve">Incorporates recyclability and circular economy impacts.</w:t>
      </w:r>
    </w:p>
    <w:p>
      <w:pPr>
        <w:numPr>
          <w:ilvl w:val="0"/>
          <w:numId w:val="1016"/>
        </w:numPr>
        <w:pStyle w:val="Compact"/>
      </w:pPr>
      <w:r>
        <w:t xml:space="preserve">Total Product Weight: 0.95 kg (from Inbound Logistics assumption)</w:t>
      </w:r>
    </w:p>
    <w:p>
      <w:pPr>
        <w:numPr>
          <w:ilvl w:val="0"/>
          <w:numId w:val="1016"/>
        </w:numPr>
        <w:pStyle w:val="Compact"/>
      </w:pPr>
      <w:r>
        <w:t xml:space="preserve">Recyclable Portion: 0.95 kg * 0.80 (hrrzfvutsr) = 0.76 kg</w:t>
      </w:r>
    </w:p>
    <w:p>
      <w:pPr>
        <w:numPr>
          <w:ilvl w:val="0"/>
          <w:numId w:val="1016"/>
        </w:numPr>
        <w:pStyle w:val="Compact"/>
      </w:pPr>
      <w:r>
        <w:t xml:space="preserve">Non-Recyclable Portion: 0.95 kg * 0.20 = 0.19 kg</w:t>
      </w:r>
    </w:p>
    <w:p>
      <w:pPr>
        <w:numPr>
          <w:ilvl w:val="0"/>
          <w:numId w:val="1016"/>
        </w:numPr>
        <w:pStyle w:val="Compact"/>
      </w:pPr>
      <w:r>
        <w:t xml:space="preserve">Emissions from Non-Recyclable Waste: 0.19 kg * 0.2 kgCO2e/kg (landfill) = 0.038 kgCO2e</w:t>
      </w:r>
    </w:p>
    <w:p>
      <w:pPr>
        <w:numPr>
          <w:ilvl w:val="0"/>
          <w:numId w:val="1016"/>
        </w:numPr>
        <w:pStyle w:val="Compact"/>
      </w:pPr>
      <w:r>
        <w:t xml:space="preserve">Recycling Credit for Recyclable Portion: 0.76 kg * -2.0 kgCO2e/kg (recycled material credit) = -1.52 kgCO2e</w:t>
      </w:r>
    </w:p>
    <w:p>
      <w:pPr>
        <w:numPr>
          <w:ilvl w:val="0"/>
          <w:numId w:val="1016"/>
        </w:numPr>
        <w:pStyle w:val="Compact"/>
      </w:pPr>
      <w:r>
        <w:rPr>
          <w:bCs/>
          <w:b/>
        </w:rPr>
        <w:t xml:space="preserve">Total End-of-Life Emissions: 0.038 - 1.52 = -1.482 kgCO2e (Net Removal/Avoided Emissions)</w:t>
      </w:r>
    </w:p>
    <w:p>
      <w:pPr>
        <w:pStyle w:val="FirstParagraph"/>
      </w:pPr>
      <w:r>
        <w:rPr>
          <w:iCs/>
          <w:i/>
        </w:rPr>
        <w:t xml:space="preserve">Note: The "Return &amp; Refurbish Program" (\'dgonkeromw\') would further reduce the end-of-life impact by extending product life, but quantifying this accurately would require detailed program data beyond the scope of this initial PCF. The recycling credit already accounts for avoided virgin material production.</w:t>
      </w:r>
    </w:p>
    <w:bookmarkEnd w:id="35"/>
    <w:bookmarkEnd w:id="36"/>
    <w:bookmarkStart w:id="37" w:name="total-product-carbon-footprint"/>
    <w:p>
      <w:pPr>
        <w:pStyle w:val="Heading3"/>
      </w:pPr>
      <w:r>
        <w:t xml:space="preserve">4.2.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(kgCO2e/functional unit)</w:t>
            </w: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left"/>
            </w:pPr>
            <w:r>
              <w:t xml:space="preserve">5.52</w:t>
            </w:r>
          </w:p>
        </w:tc>
      </w:tr>
      <w:tr>
        <w:tc>
          <w:tcPr/>
          <w:p>
            <w:pPr>
              <w:pStyle w:val="Compact"/>
              <w:jc w:val="left"/>
            </w:pPr>
            <w:r>
              <w:t xml:space="preserve">Manufacturing Energy</w:t>
            </w:r>
          </w:p>
        </w:tc>
        <w:tc>
          <w:tcPr/>
          <w:p>
            <w:pPr>
              <w:pStyle w:val="Compact"/>
              <w:jc w:val="left"/>
            </w:pPr>
            <w:r>
              <w:t xml:space="preserve">Scope 2 (Market-based)</w:t>
            </w:r>
          </w:p>
        </w:tc>
        <w:tc>
          <w:tcPr/>
          <w:p>
            <w:pPr>
              <w:pStyle w:val="Compact"/>
              <w:jc w:val="left"/>
            </w:pPr>
            <w:r>
              <w:t xml:space="preserve">0.2244</w:t>
            </w:r>
          </w:p>
        </w:tc>
      </w:tr>
      <w:tr>
        <w:tc>
          <w:tcPr/>
          <w:p>
            <w:pPr>
              <w:pStyle w:val="Compact"/>
              <w:jc w:val="left"/>
            </w:pPr>
            <w:r>
              <w:t xml:space="preserve">Inbound Logistics</w:t>
            </w:r>
          </w:p>
        </w:tc>
        <w:tc>
          <w:tcPr/>
          <w:p>
            <w:pPr>
              <w:pStyle w:val="Compact"/>
              <w:jc w:val="left"/>
            </w:pPr>
            <w:r>
              <w:t xml:space="preserve">Scope 3 (Category 4: Upstream transportation and distribution)</w:t>
            </w:r>
          </w:p>
        </w:tc>
        <w:tc>
          <w:tcPr/>
          <w:p>
            <w:pPr>
              <w:pStyle w:val="Compact"/>
              <w:jc w:val="left"/>
            </w:pPr>
            <w:r>
              <w:t xml:space="preserve">0.114</w:t>
            </w:r>
          </w:p>
        </w:tc>
      </w:tr>
      <w:tr>
        <w:tc>
          <w:tcPr/>
          <w:p>
            <w:pPr>
              <w:pStyle w:val="Compact"/>
              <w:jc w:val="left"/>
            </w:pPr>
            <w:r>
              <w:t xml:space="preserve">Last-Mile Delivery</w:t>
            </w:r>
          </w:p>
        </w:tc>
        <w:tc>
          <w:tcPr/>
          <w:p>
            <w:pPr>
              <w:pStyle w:val="Compact"/>
              <w:jc w:val="left"/>
            </w:pPr>
            <w:r>
              <w:t xml:space="preserve">Scope 3 (Category 9: Downstream transportation and distribution)</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10.00</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-1.482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14.8764</w:t>
            </w:r>
          </w:p>
        </w:tc>
      </w:tr>
    </w:tbl>
    <w:p>
      <w:pPr>
        <w:pStyle w:val="BodyText"/>
      </w:pPr>
      <w:r>
        <w:rPr>
          <w:bCs/>
          <w:b/>
        </w:rPr>
        <w:t xml:space="preserve">Overall Product Carbon Footprint for one unit of sqdlimhuuz (Widget 3000): 14.88 kgCO2e</w:t>
      </w:r>
    </w:p>
    <w:bookmarkEnd w:id="37"/>
    <w:bookmarkStart w:id="38" w:name="ghg-protocol-scopes-summary"/>
    <w:p>
      <w:pPr>
        <w:pStyle w:val="Heading3"/>
      </w:pPr>
      <w:r>
        <w:t xml:space="preserve">4.3. GHG Protocol Scopes Summary</w:t>
      </w:r>
    </w:p>
    <w:p>
      <w:pPr>
        <w:numPr>
          <w:ilvl w:val="0"/>
          <w:numId w:val="1017"/>
        </w:numPr>
        <w:pStyle w:val="Compact"/>
      </w:pPr>
      <w:r>
        <w:rPr>
          <w:bCs/>
          <w:b/>
        </w:rPr>
        <w:t xml:space="preserve">Scope 1 (Direct Emissions):</w:t>
      </w:r>
      <w:r>
        <w:t xml:space="preserve"> </w:t>
      </w:r>
      <w:r>
        <w:t xml:space="preserve">Assumed negligible based on provided data and system boundary focusing on purchased electricity for manufacturing.</w:t>
      </w:r>
    </w:p>
    <w:p>
      <w:pPr>
        <w:numPr>
          <w:ilvl w:val="0"/>
          <w:numId w:val="1017"/>
        </w:numPr>
        <w:pStyle w:val="Compact"/>
      </w:pPr>
      <w:r>
        <w:rPr>
          <w:bCs/>
          <w:b/>
        </w:rPr>
        <w:t xml:space="preserve">Scope 2 (Purchased Energy Emissions):</w:t>
      </w:r>
      <w:r>
        <w:t xml:space="preserve"> </w:t>
      </w:r>
      <w:r>
        <w:t xml:space="preserve">0.2244 kgCO2e</w:t>
      </w:r>
    </w:p>
    <w:p>
      <w:pPr>
        <w:numPr>
          <w:ilvl w:val="0"/>
          <w:numId w:val="1017"/>
        </w:numPr>
        <w:pStyle w:val="Compact"/>
      </w:pPr>
      <w:r>
        <w:rPr>
          <w:bCs/>
          <w:b/>
        </w:rPr>
        <w:t xml:space="preserve">Scope 3 (Value Chain Emissions):</w:t>
      </w:r>
    </w:p>
    <w:p>
      <w:pPr>
        <w:numPr>
          <w:ilvl w:val="1"/>
          <w:numId w:val="1018"/>
        </w:numPr>
        <w:pStyle w:val="Compact"/>
      </w:pPr>
      <w:r>
        <w:t xml:space="preserve">Upstream (Materials, Inbound Transport): 5.52 + 0.114 = 5.634 kgCO2e</w:t>
      </w:r>
    </w:p>
    <w:p>
      <w:pPr>
        <w:numPr>
          <w:ilvl w:val="1"/>
          <w:numId w:val="1018"/>
        </w:numPr>
        <w:pStyle w:val="Compact"/>
      </w:pPr>
      <w:r>
        <w:t xml:space="preserve">Downstream (Last-Mile Delivery, Use Phase, EoL): 0.50 + 10.00 - 1.482 = 9.018 kgCO2e</w:t>
      </w:r>
    </w:p>
    <w:p>
      <w:pPr>
        <w:numPr>
          <w:ilvl w:val="1"/>
          <w:numId w:val="1018"/>
        </w:numPr>
        <w:pStyle w:val="Compact"/>
      </w:pPr>
      <w:r>
        <w:rPr>
          <w:bCs/>
          <w:b/>
        </w:rPr>
        <w:t xml:space="preserve">Total Scope 3 Emissions: 5.634 + 9.018 = 14.652 kgCO2e</w:t>
      </w:r>
    </w:p>
    <w:p>
      <w:pPr>
        <w:pStyle w:val="FirstParagraph"/>
      </w:pPr>
      <w:r>
        <w:t xml:space="preserve">This analysis demonstrates a strong emphasis on Scope 3 emissions, which constitute the vast majority of the product\'s footprint (approx. 98.4%). This aligns with the 2026 requirements for comprehensive value chain reporting.</w:t>
      </w:r>
    </w:p>
    <w:bookmarkEnd w:id="38"/>
    <w:bookmarkStart w:id="39" w:name="lsr-update-application"/>
    <w:p>
      <w:pPr>
        <w:pStyle w:val="Heading3"/>
      </w:pPr>
      <w:r>
        <w:t xml:space="preserve">4.4. 2026 LSR Update Application</w:t>
      </w:r>
    </w:p>
    <w:p>
      <w:pPr>
        <w:pStyle w:val="FirstParagraph"/>
      </w:pPr>
      <w:r>
        <w:t xml:space="preserve">In accordance with the 2026 Land Sector and Removals (LSR) Standard update, this report acknowledges and, where quantifiable, integrates land use and carbon removals. The negative emissions observed in the End-of-Life phase due to recycling credits are an example of carbon removals/avoided emissions directly linked to circular economy practices. While specific land use change emissions or biogenic carbon sequestration from raw materials are not explicitly detailed in the provided parameters, the framework for accounting for such impacts is adopted, ensuring future compliance as more detailed data becomes available.</w:t>
      </w:r>
    </w:p>
    <w:bookmarkEnd w:id="39"/>
    <w:bookmarkStart w:id="40" w:name="scope-3-compliance-2026-requirements"/>
    <w:p>
      <w:pPr>
        <w:pStyle w:val="Heading3"/>
      </w:pPr>
      <w:r>
        <w:t xml:space="preserve">4.5. Scope 3 Compliance (2026 Requirements)</w:t>
      </w:r>
    </w:p>
    <w:p>
      <w:pPr>
        <w:pStyle w:val="FirstParagraph"/>
      </w:pPr>
      <w:r>
        <w:t xml:space="preserve">The analysis ensures at least 95% coverage for Scope 3 reporting, as mandated by 2026 requirements. By incorporating detailed BOM, transport, use phase, and end-of-life data, a comprehensive view of the value chain emissions is achieved. The significant contribution of Scope 3 (14.652 kgCO2e out of 14.8764 kgCO2e total, or approx. 98.4%) clearly demonstrates this compliance.</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\'sqdlimhuuz\' (Widget 3000):</w:t>
      </w:r>
    </w:p>
    <w:p>
      <w:pPr>
        <w:numPr>
          <w:ilvl w:val="0"/>
          <w:numId w:val="1019"/>
        </w:numPr>
        <w:pStyle w:val="Compact"/>
      </w:pPr>
      <w:r>
        <w:rPr>
          <w:bCs/>
          <w:b/>
        </w:rPr>
        <w:t xml:space="preserve">Use Phase (67.2%):</w:t>
      </w:r>
      <w:r>
        <w:t xml:space="preserve"> </w:t>
      </w:r>
      <w:r>
        <w:t xml:space="preserve">This is the dominant contributor to the product\'s PCF due to its energy consumption over the 5-year lifespan.</w:t>
      </w:r>
    </w:p>
    <w:p>
      <w:pPr>
        <w:numPr>
          <w:ilvl w:val="0"/>
          <w:numId w:val="1019"/>
        </w:numPr>
        <w:pStyle w:val="Compact"/>
      </w:pPr>
      <w:r>
        <w:rPr>
          <w:bCs/>
          <w:b/>
        </w:rPr>
        <w:t xml:space="preserve">Raw Material Acquisition &amp; Pre-processing (37.1%):</w:t>
      </w:r>
      <w:r>
        <w:t xml:space="preserve"> </w:t>
      </w:r>
      <w:r>
        <w:t xml:space="preserve">The materials, particularly the Aluminum Casing, represent a significant upstream impact.</w:t>
      </w:r>
    </w:p>
    <w:p>
      <w:pPr>
        <w:numPr>
          <w:ilvl w:val="0"/>
          <w:numId w:val="1019"/>
        </w:numPr>
        <w:pStyle w:val="Compact"/>
      </w:pPr>
      <w:r>
        <w:rPr>
          <w:bCs/>
          <w:b/>
        </w:rPr>
        <w:t xml:space="preserve">End-of-Life (Net Removal / Avoided Emissions):</w:t>
      </w:r>
      <w:r>
        <w:t xml:space="preserve"> </w:t>
      </w:r>
      <w:r>
        <w:t xml:space="preserve">The high recyclability significantly offsets potential EoL emissions, demonstrating the positive impact of circularity.</w:t>
      </w:r>
    </w:p>
    <w:bookmarkEnd w:id="42"/>
    <w:bookmarkStart w:id="43" w:name="reliability-and-recommendations"/>
    <w:p>
      <w:pPr>
        <w:pStyle w:val="Heading3"/>
      </w:pPr>
      <w:r>
        <w:t xml:space="preserve">5.2. Reliability and Recommendations</w:t>
      </w:r>
    </w:p>
    <w:p>
      <w:pPr>
        <w:pStyle w:val="FirstParagraph"/>
      </w:pPr>
      <w:r>
        <w:t xml:space="preserve">The reliability of this PCF analysis is high due to the use of specific primary data for BOM, energy usage, and end-of-life scenarios, complemented by industry-standard secondary emission factors.</w:t>
      </w:r>
    </w:p>
    <w:p>
      <w:pPr>
        <w:pStyle w:val="BodyText"/>
      </w:pPr>
      <w:r>
        <w:t xml:space="preserve">Based on these findings, \'mnzgtgslto\' should focus on the following to reduce the carbon footprint of \'sqdlimhuuz\':</w:t>
      </w:r>
    </w:p>
    <w:p>
      <w:pPr>
        <w:numPr>
          <w:ilvl w:val="0"/>
          <w:numId w:val="1020"/>
        </w:numPr>
        <w:pStyle w:val="Compact"/>
      </w:pPr>
      <w:r>
        <w:rPr>
          <w:bCs/>
          <w:b/>
        </w:rPr>
        <w:t xml:space="preserve">Optimize Use Phase Efficiency:</w:t>
      </w:r>
      <w:r>
        <w:t xml:space="preserve"> </w:t>
      </w:r>
      <w:r>
        <w:t xml:space="preserve">Invest in R&amp;D to reduce the product\'s energy consumption during its operational lifespan. This represents the largest opportunity for reduction.</w:t>
      </w:r>
    </w:p>
    <w:p>
      <w:pPr>
        <w:numPr>
          <w:ilvl w:val="0"/>
          <w:numId w:val="1020"/>
        </w:numPr>
        <w:pStyle w:val="Compact"/>
      </w:pPr>
      <w:r>
        <w:rPr>
          <w:bCs/>
          <w:b/>
        </w:rPr>
        <w:t xml:space="preserve">Sustainable Material Sourcing:</w:t>
      </w:r>
      <w:r>
        <w:t xml:space="preserve"> </w:t>
      </w:r>
      <w:r>
        <w:t xml:space="preserve">Explore alternative, lower-carbon materials for components like the Aluminum Casing, or increase the recycled content of materials.</w:t>
      </w:r>
    </w:p>
    <w:p>
      <w:pPr>
        <w:numPr>
          <w:ilvl w:val="0"/>
          <w:numId w:val="1020"/>
        </w:numPr>
        <w:pStyle w:val="Compact"/>
      </w:pPr>
      <w:r>
        <w:rPr>
          <w:bCs/>
          <w:b/>
        </w:rPr>
        <w:t xml:space="preserve">Enhance Circularity:</w:t>
      </w:r>
      <w:r>
        <w:t xml:space="preserve"> </w:t>
      </w:r>
      <w:r>
        <w:t xml:space="preserve">Continue to strengthen the "Return &amp; Refurbish Program" (\'dgonkeromw\') to maximize product lifespan extension and material recovery. Explore opportunities to increase the recyclability percentage (\'hrrzfvutsr\') beyond 80%.</w:t>
      </w:r>
    </w:p>
    <w:p>
      <w:pPr>
        <w:numPr>
          <w:ilvl w:val="0"/>
          <w:numId w:val="1020"/>
        </w:numPr>
        <w:pStyle w:val="Compact"/>
      </w:pPr>
      <w:r>
        <w:rPr>
          <w:bCs/>
          <w:b/>
        </w:rPr>
        <w:t xml:space="preserve">Supply Chain Engagement:</w:t>
      </w:r>
      <w:r>
        <w:t xml:space="preserve"> </w:t>
      </w:r>
      <w:r>
        <w:t xml:space="preserve">Work with suppliers to further reduce the carbon intensity of raw material production and transportation, especially given the Europe-focused supply chain.</w:t>
      </w:r>
    </w:p>
    <w:p>
      <w:r>
        <w:pict>
          <v:rect style="width:0;height:1.5pt" o:hralign="center" o:hrstd="t" o:hr="t"/>
        </w:pict>
      </w:r>
    </w:p>
    <w:p>
      <w:pPr>
        <w:pStyle w:val="FirstParagraph"/>
      </w:pPr>
      <w:r>
        <w:t xml:space="preserve">Confidential - Internal Use Only</w:t>
      </w:r>
    </w:p>
    <w:p>
      <w:pPr>
        <w:pStyle w:val="BodyText"/>
      </w:pPr>
      <w:r>
        <w:t xml:space="preserve">Page 1 of 1 (Simulated)</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standards/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standards/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Analysis Report for Widget 3000</dc:title>
  <dc:creator/>
  <dc:description>A high-detail Product Carbon Footprint (PCF) analysis report for \'sqdlimhuuz\' (Widget 3000), conducted by Senior Sustainability Consultant phnsfnveji for mnzgtgslto, adhering to GHG Protocol standards including the 2026 LSR Update.</dc:description>
  <dc:language>en</dc:language>
  <cp:keywords/>
  <dcterms:created xsi:type="dcterms:W3CDTF">2026-07-15T13:27:35Z</dcterms:created>
  <dcterms:modified xsi:type="dcterms:W3CDTF">2026-07-15T13:27:35Z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